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432" w:rsidRPr="00923DD7" w:rsidRDefault="00A02432" w:rsidP="00923DD7">
      <w:pPr>
        <w:pStyle w:val="Title"/>
        <w:spacing w:after="120"/>
        <w:rPr>
          <w:rFonts w:ascii="Times New Roman" w:hAnsi="Times New Roman" w:cs="Times New Roman"/>
          <w:b/>
          <w:sz w:val="22"/>
          <w:szCs w:val="22"/>
        </w:rPr>
      </w:pPr>
      <w:r w:rsidRPr="00923DD7">
        <w:rPr>
          <w:rFonts w:ascii="Times New Roman" w:hAnsi="Times New Roman" w:cs="Times New Roman"/>
          <w:b/>
          <w:sz w:val="22"/>
          <w:szCs w:val="22"/>
        </w:rPr>
        <w:t>Draft Nexus Message on Water- Energy-Food -Climate through an Urban Lens</w:t>
      </w:r>
    </w:p>
    <w:p w:rsidR="00DE60BE" w:rsidRPr="00923DD7" w:rsidRDefault="00A02432" w:rsidP="00923DD7">
      <w:pPr>
        <w:pStyle w:val="Heading1"/>
        <w:spacing w:after="120" w:line="240" w:lineRule="auto"/>
        <w:rPr>
          <w:rFonts w:ascii="Times New Roman" w:hAnsi="Times New Roman" w:cs="Times New Roman"/>
          <w:sz w:val="22"/>
          <w:szCs w:val="22"/>
        </w:rPr>
      </w:pPr>
      <w:bookmarkStart w:id="0" w:name="_Toc508749285"/>
      <w:bookmarkStart w:id="1" w:name="_Toc508749801"/>
      <w:bookmarkStart w:id="2" w:name="_Toc508750182"/>
      <w:bookmarkStart w:id="3" w:name="_Toc508750702"/>
      <w:bookmarkStart w:id="4" w:name="_Toc512266013"/>
      <w:bookmarkStart w:id="5" w:name="_Toc512269692"/>
      <w:r w:rsidRPr="00923DD7">
        <w:rPr>
          <w:rFonts w:ascii="Times New Roman" w:hAnsi="Times New Roman" w:cs="Times New Roman"/>
          <w:sz w:val="22"/>
          <w:szCs w:val="22"/>
        </w:rPr>
        <w:t>Building Integrated Approaches into Implementing the Sustainable Development Goals</w:t>
      </w:r>
      <w:bookmarkEnd w:id="0"/>
      <w:bookmarkEnd w:id="1"/>
      <w:bookmarkEnd w:id="2"/>
      <w:bookmarkEnd w:id="3"/>
      <w:bookmarkEnd w:id="4"/>
      <w:bookmarkEnd w:id="5"/>
    </w:p>
    <w:p w:rsidR="00A02432" w:rsidRPr="00923DD7" w:rsidRDefault="009D75A6" w:rsidP="009B7ED7">
      <w:pPr>
        <w:spacing w:after="120" w:line="240" w:lineRule="auto"/>
        <w:ind w:firstLine="720"/>
        <w:rPr>
          <w:rFonts w:ascii="Times New Roman" w:hAnsi="Times New Roman"/>
        </w:rPr>
      </w:pPr>
      <w:r w:rsidRPr="00923DD7">
        <w:rPr>
          <w:rFonts w:ascii="Times New Roman" w:hAnsi="Times New Roman"/>
        </w:rPr>
        <w:t>Multiple stakeholders</w:t>
      </w:r>
      <w:r w:rsidR="00A02432" w:rsidRPr="00923DD7">
        <w:rPr>
          <w:rFonts w:ascii="Times New Roman" w:hAnsi="Times New Roman"/>
        </w:rPr>
        <w:t xml:space="preserve"> representing governments, intergovernmental organizations, academic institutions, companies, environmental and development organizations and other stakeholders met at an internationally supported conference at the University of North Carolina at Chapel Hill, from April 16-18</w:t>
      </w:r>
      <w:r w:rsidR="00A02432" w:rsidRPr="00923DD7">
        <w:rPr>
          <w:rFonts w:ascii="Times New Roman" w:hAnsi="Times New Roman"/>
          <w:vertAlign w:val="superscript"/>
        </w:rPr>
        <w:t>th</w:t>
      </w:r>
      <w:r w:rsidR="00A02432" w:rsidRPr="00923DD7">
        <w:rPr>
          <w:rFonts w:ascii="Times New Roman" w:hAnsi="Times New Roman"/>
        </w:rPr>
        <w:t xml:space="preserve"> 2018 to explore how addressing interlinkages and an intersectoral approach can help implement the 2030 Agenda on Sustainable Development incorporating the Sustainable Development Goals.</w:t>
      </w:r>
    </w:p>
    <w:p w:rsidR="00A6508E" w:rsidRPr="00923DD7" w:rsidRDefault="00A6508E" w:rsidP="009B7ED7">
      <w:pPr>
        <w:spacing w:line="240" w:lineRule="auto"/>
        <w:ind w:firstLine="720"/>
        <w:rPr>
          <w:rFonts w:ascii="Times New Roman" w:hAnsi="Times New Roman"/>
        </w:rPr>
      </w:pPr>
      <w:r w:rsidRPr="00923DD7">
        <w:rPr>
          <w:rFonts w:ascii="Times New Roman" w:hAnsi="Times New Roman"/>
        </w:rPr>
        <w:t xml:space="preserve">From the time the Sustainable Development Goals were adopted in 2015 it was generally </w:t>
      </w:r>
      <w:r w:rsidR="00A6171E" w:rsidRPr="00923DD7">
        <w:rPr>
          <w:rFonts w:ascii="Times New Roman" w:hAnsi="Times New Roman"/>
        </w:rPr>
        <w:t>recognized</w:t>
      </w:r>
      <w:r w:rsidRPr="00923DD7">
        <w:rPr>
          <w:rFonts w:ascii="Times New Roman" w:hAnsi="Times New Roman"/>
        </w:rPr>
        <w:t xml:space="preserve"> that they will only be successfully achieved if they are pursued in an integrated way, and that the totality of interconnections or nexuses between the different goals or targets needs to be thoroughly </w:t>
      </w:r>
      <w:r w:rsidR="00A6171E" w:rsidRPr="00923DD7">
        <w:rPr>
          <w:rFonts w:ascii="Times New Roman" w:hAnsi="Times New Roman"/>
        </w:rPr>
        <w:t>analyzed and understood</w:t>
      </w:r>
      <w:r w:rsidRPr="00923DD7">
        <w:rPr>
          <w:rFonts w:ascii="Times New Roman" w:hAnsi="Times New Roman"/>
        </w:rPr>
        <w:t xml:space="preserve"> to build coherent sets of integrated policies and action </w:t>
      </w:r>
      <w:r w:rsidR="00A6171E" w:rsidRPr="00923DD7">
        <w:rPr>
          <w:rFonts w:ascii="Times New Roman" w:hAnsi="Times New Roman"/>
        </w:rPr>
        <w:t>programmes</w:t>
      </w:r>
      <w:r w:rsidRPr="00923DD7">
        <w:rPr>
          <w:rFonts w:ascii="Times New Roman" w:hAnsi="Times New Roman"/>
        </w:rPr>
        <w:t xml:space="preserve"> for sustainable development. </w:t>
      </w:r>
    </w:p>
    <w:p w:rsidR="00A6508E" w:rsidRPr="00923DD7" w:rsidRDefault="00A6508E" w:rsidP="009B7ED7">
      <w:pPr>
        <w:spacing w:line="240" w:lineRule="auto"/>
        <w:ind w:firstLine="720"/>
        <w:rPr>
          <w:rFonts w:ascii="Times New Roman" w:hAnsi="Times New Roman"/>
        </w:rPr>
      </w:pPr>
      <w:r w:rsidRPr="00923DD7">
        <w:rPr>
          <w:rFonts w:ascii="Times New Roman" w:hAnsi="Times New Roman"/>
        </w:rPr>
        <w:t>Within this complex set of connections some interconnectivities are however stronger than others and deserve particular attention in order to achieve more sustainable outcomes. The Nexus community of researchers and policy makers has for the pas</w:t>
      </w:r>
      <w:r w:rsidR="00BA1414" w:rsidRPr="00923DD7">
        <w:rPr>
          <w:rFonts w:ascii="Times New Roman" w:hAnsi="Times New Roman"/>
        </w:rPr>
        <w:t>t few years focused</w:t>
      </w:r>
      <w:r w:rsidRPr="00923DD7">
        <w:rPr>
          <w:rFonts w:ascii="Times New Roman" w:hAnsi="Times New Roman"/>
        </w:rPr>
        <w:t xml:space="preserve"> on the connections between the Water, Food, Energy and Climate Goals and developed important insights and practical approaches for achieving better, more integrated, and therefore more sustainable results in and between those sectors.</w:t>
      </w:r>
    </w:p>
    <w:p w:rsidR="00A6508E" w:rsidRPr="00923DD7" w:rsidRDefault="00A6508E" w:rsidP="009B7ED7">
      <w:pPr>
        <w:spacing w:line="240" w:lineRule="auto"/>
        <w:ind w:firstLine="720"/>
        <w:rPr>
          <w:rFonts w:ascii="Times New Roman" w:hAnsi="Times New Roman"/>
        </w:rPr>
      </w:pPr>
      <w:r w:rsidRPr="00923DD7">
        <w:rPr>
          <w:rFonts w:ascii="Times New Roman" w:hAnsi="Times New Roman"/>
        </w:rPr>
        <w:t>The 2018 Conference is the second Nexus Conference that has been organized by the Water Institute of the University of North Carolina. This year’s Conference again had a particular focus of looking at the interconnections and nexus between the Water, Food, Climate and Energy Goals, but this time added the dimension of looki</w:t>
      </w:r>
      <w:r w:rsidR="00BA1414" w:rsidRPr="00923DD7">
        <w:rPr>
          <w:rFonts w:ascii="Times New Roman" w:hAnsi="Times New Roman"/>
        </w:rPr>
        <w:t>ng at these connections through</w:t>
      </w:r>
      <w:r w:rsidRPr="00923DD7">
        <w:rPr>
          <w:rFonts w:ascii="Times New Roman" w:hAnsi="Times New Roman"/>
        </w:rPr>
        <w:t xml:space="preserve"> an Urban Lens. </w:t>
      </w:r>
    </w:p>
    <w:p w:rsidR="00A6508E" w:rsidRPr="00923DD7" w:rsidRDefault="00A6508E" w:rsidP="009B7ED7">
      <w:pPr>
        <w:spacing w:line="240" w:lineRule="auto"/>
        <w:ind w:firstLine="720"/>
        <w:rPr>
          <w:rFonts w:ascii="Times New Roman" w:hAnsi="Times New Roman"/>
        </w:rPr>
      </w:pPr>
      <w:r w:rsidRPr="00923DD7">
        <w:rPr>
          <w:rFonts w:ascii="Times New Roman" w:hAnsi="Times New Roman"/>
        </w:rPr>
        <w:t xml:space="preserve">The Conference also took the opportunity to take stock of the evolution of Nexus-style thinking and the state of its application on the ground in developing practical integrated solutions in many places and at many levels. The Conference felt that the time would now be right to seek to extend the Nexus- style of analysis and action-oriented policy frameworks to other important linkages in the SDG framework.  </w:t>
      </w:r>
    </w:p>
    <w:p w:rsidR="00A6508E" w:rsidRPr="00923DD7" w:rsidRDefault="00A6508E" w:rsidP="009B7ED7">
      <w:pPr>
        <w:spacing w:line="240" w:lineRule="auto"/>
        <w:ind w:firstLine="720"/>
        <w:rPr>
          <w:rFonts w:ascii="Times New Roman" w:hAnsi="Times New Roman"/>
        </w:rPr>
      </w:pPr>
      <w:r w:rsidRPr="00923DD7">
        <w:rPr>
          <w:rFonts w:ascii="Times New Roman" w:hAnsi="Times New Roman"/>
        </w:rPr>
        <w:t>The following Nexus Message based on research, contributions and discussions associated with the Nexus 2018 event [was adopted unanimously by the participants] and is offered by them as a contribution to discussions at this year’s HLPF and other SDG implementation processes.</w:t>
      </w:r>
    </w:p>
    <w:p w:rsidR="00A6508E" w:rsidRPr="00923DD7" w:rsidRDefault="00A6508E" w:rsidP="00923DD7">
      <w:pPr>
        <w:spacing w:after="120" w:line="240" w:lineRule="auto"/>
        <w:rPr>
          <w:rFonts w:ascii="Times New Roman" w:hAnsi="Times New Roman"/>
        </w:rPr>
      </w:pPr>
    </w:p>
    <w:p w:rsidR="00A02432" w:rsidRPr="00923DD7" w:rsidRDefault="00A02432" w:rsidP="00923DD7">
      <w:pPr>
        <w:spacing w:after="120" w:line="240" w:lineRule="auto"/>
        <w:rPr>
          <w:rFonts w:ascii="Times New Roman" w:hAnsi="Times New Roman"/>
        </w:rPr>
      </w:pPr>
      <w:r w:rsidRPr="00923DD7">
        <w:rPr>
          <w:rFonts w:ascii="Times New Roman" w:hAnsi="Times New Roman"/>
        </w:rPr>
        <w:t>Felix Dodds and Jamie Bartram</w:t>
      </w:r>
    </w:p>
    <w:p w:rsidR="00847E4B" w:rsidRPr="00923DD7" w:rsidRDefault="00A02432" w:rsidP="00923DD7">
      <w:pPr>
        <w:spacing w:after="480" w:line="240" w:lineRule="auto"/>
        <w:rPr>
          <w:rFonts w:ascii="Times New Roman" w:hAnsi="Times New Roman"/>
        </w:rPr>
      </w:pPr>
      <w:r w:rsidRPr="00923DD7">
        <w:rPr>
          <w:rFonts w:ascii="Times New Roman" w:hAnsi="Times New Roman"/>
        </w:rPr>
        <w:t>Nexus 2018 Conference Co-directors</w:t>
      </w:r>
    </w:p>
    <w:p w:rsidR="001605CF" w:rsidRPr="00923DD7" w:rsidRDefault="001605CF" w:rsidP="00923DD7">
      <w:pPr>
        <w:spacing w:after="480" w:line="240" w:lineRule="auto"/>
        <w:rPr>
          <w:rFonts w:ascii="Times New Roman" w:hAnsi="Times New Roman"/>
        </w:rPr>
      </w:pPr>
    </w:p>
    <w:p w:rsidR="00A6508E" w:rsidRPr="00923DD7" w:rsidRDefault="00A6508E" w:rsidP="00923DD7">
      <w:pPr>
        <w:spacing w:after="480" w:line="240" w:lineRule="auto"/>
        <w:rPr>
          <w:rFonts w:ascii="Times New Roman" w:hAnsi="Times New Roman"/>
        </w:rPr>
      </w:pPr>
    </w:p>
    <w:p w:rsidR="009B7ED7" w:rsidRDefault="009B7ED7" w:rsidP="00923DD7">
      <w:pPr>
        <w:spacing w:before="100" w:beforeAutospacing="1" w:after="100" w:afterAutospacing="1" w:line="240" w:lineRule="auto"/>
        <w:jc w:val="center"/>
        <w:rPr>
          <w:rFonts w:ascii="Times New Roman" w:hAnsi="Times New Roman"/>
          <w:b/>
        </w:rPr>
      </w:pPr>
      <w:bookmarkStart w:id="6" w:name="_Hlk511897039"/>
    </w:p>
    <w:p w:rsidR="009B7ED7" w:rsidRDefault="009B7ED7" w:rsidP="00923DD7">
      <w:pPr>
        <w:spacing w:before="100" w:beforeAutospacing="1" w:after="100" w:afterAutospacing="1" w:line="240" w:lineRule="auto"/>
        <w:jc w:val="center"/>
        <w:rPr>
          <w:rFonts w:ascii="Times New Roman" w:hAnsi="Times New Roman"/>
          <w:b/>
        </w:rPr>
      </w:pPr>
    </w:p>
    <w:p w:rsidR="009B7ED7" w:rsidRDefault="009B7ED7" w:rsidP="00923DD7">
      <w:pPr>
        <w:spacing w:before="100" w:beforeAutospacing="1" w:after="100" w:afterAutospacing="1" w:line="240" w:lineRule="auto"/>
        <w:jc w:val="center"/>
        <w:rPr>
          <w:rFonts w:ascii="Times New Roman" w:hAnsi="Times New Roman"/>
          <w:b/>
        </w:rPr>
      </w:pPr>
    </w:p>
    <w:p w:rsidR="004E10A4" w:rsidRPr="00923DD7" w:rsidRDefault="004E10A4" w:rsidP="00923DD7">
      <w:pPr>
        <w:spacing w:before="100" w:beforeAutospacing="1" w:after="100" w:afterAutospacing="1" w:line="240" w:lineRule="auto"/>
        <w:jc w:val="center"/>
        <w:rPr>
          <w:rFonts w:ascii="Times New Roman" w:hAnsi="Times New Roman"/>
          <w:b/>
        </w:rPr>
      </w:pPr>
      <w:r w:rsidRPr="00923DD7">
        <w:rPr>
          <w:rFonts w:ascii="Times New Roman" w:hAnsi="Times New Roman"/>
          <w:b/>
        </w:rPr>
        <w:lastRenderedPageBreak/>
        <w:t>Message from the 2018 Nexus Conference</w:t>
      </w:r>
    </w:p>
    <w:p w:rsidR="004E10A4" w:rsidRPr="00923DD7" w:rsidRDefault="004E10A4" w:rsidP="00923DD7">
      <w:pPr>
        <w:spacing w:before="100" w:beforeAutospacing="1" w:after="100" w:afterAutospacing="1" w:line="240" w:lineRule="auto"/>
        <w:rPr>
          <w:rFonts w:ascii="Times New Roman" w:hAnsi="Times New Roman"/>
        </w:rPr>
      </w:pPr>
      <w:r w:rsidRPr="00923DD7">
        <w:rPr>
          <w:rFonts w:ascii="Times New Roman" w:hAnsi="Times New Roman"/>
        </w:rPr>
        <w:t xml:space="preserve">The 2030 Agenda and the Sustainable Development Goals can only be achieved if they are pursued in an integrated manner. For this reason, the Nexus community of researchers, academics, NGOs, policy makers, the private sector and other key stakeholders came together at the 2018 Nexus Conference at the University of North Carolina at Chapel Hill. </w:t>
      </w:r>
    </w:p>
    <w:p w:rsidR="004E10A4" w:rsidRDefault="004E10A4" w:rsidP="00923DD7">
      <w:pPr>
        <w:spacing w:before="100" w:beforeAutospacing="1" w:after="100" w:afterAutospacing="1" w:line="240" w:lineRule="auto"/>
        <w:rPr>
          <w:rFonts w:ascii="Times New Roman" w:hAnsi="Times New Roman"/>
        </w:rPr>
      </w:pPr>
      <w:r w:rsidRPr="00923DD7">
        <w:rPr>
          <w:rFonts w:ascii="Times New Roman" w:hAnsi="Times New Roman"/>
        </w:rPr>
        <w:t xml:space="preserve">We have concluded that the Nexus approach remains essential in recognizing the indivisible nature of the SDGs and that such an approach is fundamental in delivering these goals. The Nexus approach brings into focus the positive synergies and potential negative tradeoffs that arise when working to achieve the ambitious 2030 Agenda, and </w:t>
      </w:r>
      <w:r w:rsidR="004E27BE">
        <w:rPr>
          <w:rFonts w:ascii="Times New Roman" w:hAnsi="Times New Roman"/>
        </w:rPr>
        <w:t xml:space="preserve">it </w:t>
      </w:r>
      <w:r w:rsidRPr="00923DD7">
        <w:rPr>
          <w:rFonts w:ascii="Times New Roman" w:hAnsi="Times New Roman"/>
        </w:rPr>
        <w:t>is helping to develop more practical solutions to address key issues. Understanding the interlinkages between water, ene</w:t>
      </w:r>
      <w:r w:rsidR="004E27BE">
        <w:rPr>
          <w:rFonts w:ascii="Times New Roman" w:hAnsi="Times New Roman"/>
        </w:rPr>
        <w:t>rgy, food and climate plays</w:t>
      </w:r>
      <w:r w:rsidRPr="00923DD7">
        <w:rPr>
          <w:rFonts w:ascii="Times New Roman" w:hAnsi="Times New Roman"/>
        </w:rPr>
        <w:t xml:space="preserve"> a crucial role in delivering sustainable outcome and helping global communities’ in their collective efforts to deliver the SDGs, end poverty, and create more equitable and peaceful societies.</w:t>
      </w:r>
    </w:p>
    <w:p w:rsidR="004E27BE" w:rsidRPr="004E27BE" w:rsidRDefault="004E27BE" w:rsidP="004E27BE">
      <w:pPr>
        <w:shd w:val="clear" w:color="auto" w:fill="FFFFFF"/>
        <w:spacing w:before="240" w:after="0" w:line="240" w:lineRule="auto"/>
        <w:rPr>
          <w:rFonts w:ascii="Times New Roman" w:eastAsia="Times New Roman" w:hAnsi="Times New Roman"/>
          <w:color w:val="222222"/>
          <w:lang w:val="en-CA" w:eastAsia="en-CA"/>
        </w:rPr>
      </w:pPr>
      <w:r w:rsidRPr="004E27BE">
        <w:rPr>
          <w:rFonts w:ascii="Times New Roman" w:eastAsia="Times New Roman" w:hAnsi="Times New Roman"/>
          <w:color w:val="222222"/>
          <w:lang w:val="en-CA" w:eastAsia="en-CA"/>
        </w:rPr>
        <w:t>One of the most prominent debates at the conference revolved around unpacking the notion of exactly what integrated approaches actually comprise of. The outcome of that debate is that integration involves 3 concepts; optimization, synergies and tradeoffs. Further, that on the ground, consideration of the Nexus of Resources (water, soil, wind, sun, minerals, waste etc.) is not useful unless it is linked to the Nexus of Services (energy, food, housing, supply etc.). In development practice</w:t>
      </w:r>
      <w:r w:rsidR="007A0A43">
        <w:rPr>
          <w:rFonts w:ascii="Times New Roman" w:eastAsia="Times New Roman" w:hAnsi="Times New Roman"/>
          <w:color w:val="222222"/>
          <w:lang w:val="en-CA" w:eastAsia="en-CA"/>
        </w:rPr>
        <w:t>s,</w:t>
      </w:r>
      <w:r w:rsidRPr="004E27BE">
        <w:rPr>
          <w:rFonts w:ascii="Times New Roman" w:eastAsia="Times New Roman" w:hAnsi="Times New Roman"/>
          <w:color w:val="222222"/>
          <w:lang w:val="en-CA" w:eastAsia="en-CA"/>
        </w:rPr>
        <w:t xml:space="preserve"> it was observed that the linking and integrating element for optimizing, synergizing and making tradeoffs, is infrastructure. </w:t>
      </w:r>
      <w:r w:rsidRPr="004E27BE">
        <w:rPr>
          <w:rFonts w:ascii="Times New Roman" w:hAnsi="Times New Roman"/>
        </w:rPr>
        <w:t>Since the Nexus approach focuses on optimizing positive synergies while minimizing negative tradeoffs, it i</w:t>
      </w:r>
      <w:r>
        <w:rPr>
          <w:rFonts w:ascii="Times New Roman" w:hAnsi="Times New Roman"/>
        </w:rPr>
        <w:t xml:space="preserve">s being put forward as </w:t>
      </w:r>
      <w:r w:rsidR="007A0A43">
        <w:rPr>
          <w:rFonts w:ascii="Times New Roman" w:hAnsi="Times New Roman"/>
        </w:rPr>
        <w:t>the most</w:t>
      </w:r>
      <w:bookmarkStart w:id="7" w:name="_GoBack"/>
      <w:bookmarkEnd w:id="7"/>
      <w:r>
        <w:rPr>
          <w:rFonts w:ascii="Times New Roman" w:hAnsi="Times New Roman"/>
        </w:rPr>
        <w:t xml:space="preserve"> effective mean</w:t>
      </w:r>
      <w:r w:rsidRPr="004E27BE">
        <w:rPr>
          <w:rFonts w:ascii="Times New Roman" w:hAnsi="Times New Roman"/>
        </w:rPr>
        <w:t xml:space="preserve"> to develop more practical solutions to key issues</w:t>
      </w:r>
      <w:r>
        <w:rPr>
          <w:rFonts w:ascii="Times New Roman" w:hAnsi="Times New Roman"/>
        </w:rPr>
        <w:t>.</w:t>
      </w:r>
    </w:p>
    <w:p w:rsidR="004E10A4" w:rsidRPr="004E27BE" w:rsidRDefault="004E10A4" w:rsidP="004E27BE">
      <w:pPr>
        <w:shd w:val="clear" w:color="auto" w:fill="FFFFFF"/>
        <w:spacing w:before="240" w:after="0" w:line="240" w:lineRule="auto"/>
        <w:rPr>
          <w:rFonts w:ascii="Times New Roman" w:eastAsia="Times New Roman" w:hAnsi="Times New Roman"/>
          <w:color w:val="222222"/>
          <w:lang w:val="en-CA" w:eastAsia="en-CA"/>
        </w:rPr>
      </w:pPr>
      <w:r w:rsidRPr="004E27BE">
        <w:rPr>
          <w:rFonts w:ascii="Times New Roman" w:hAnsi="Times New Roman"/>
        </w:rPr>
        <w:t>The Nexus community is dedicating its work to implementing the 2030 Agenda in an integrated way as an essential path forward for securing a sustainable future. The conference demonstrated that there is a positive energy among the Nexus community who sees the sustainability challenges as opportunities to increase knowledge, research, and community building. In earlier years, the Nexus community focused particularly on the connections between water, food, energy and climate and helped to pioneer and foster ways of delivering more sustainable outcomes in these sectors. This year, the 2018 Nexus Conference extended its focused to capture these connections through an urban lens.</w:t>
      </w:r>
    </w:p>
    <w:p w:rsidR="004E10A4" w:rsidRPr="004E27BE" w:rsidRDefault="004E10A4" w:rsidP="00923DD7">
      <w:pPr>
        <w:spacing w:before="100" w:beforeAutospacing="1" w:after="100" w:afterAutospacing="1" w:line="240" w:lineRule="auto"/>
        <w:rPr>
          <w:rFonts w:ascii="Times New Roman" w:hAnsi="Times New Roman"/>
          <w:b/>
        </w:rPr>
      </w:pPr>
      <w:r w:rsidRPr="00923DD7">
        <w:rPr>
          <w:rFonts w:ascii="Times New Roman" w:hAnsi="Times New Roman"/>
          <w:b/>
        </w:rPr>
        <w:t>The Rural-Urban Nexus:</w:t>
      </w:r>
      <w:r w:rsidRPr="00923DD7">
        <w:rPr>
          <w:rFonts w:ascii="Times New Roman" w:hAnsi="Times New Roman"/>
        </w:rPr>
        <w:t xml:space="preserve">  </w:t>
      </w:r>
      <w:r w:rsidRPr="00923DD7">
        <w:rPr>
          <w:rFonts w:ascii="Times New Roman" w:hAnsi="Times New Roman"/>
          <w:i/>
        </w:rPr>
        <w:t xml:space="preserve">We recommend the Nexus approach to policy makers and everyone concerned with the sustainable management of cities and their relationships with rural areas and broader ecological </w:t>
      </w:r>
      <w:r w:rsidRPr="004E27BE">
        <w:rPr>
          <w:rFonts w:ascii="Times New Roman" w:hAnsi="Times New Roman"/>
          <w:i/>
        </w:rPr>
        <w:t xml:space="preserve">processes. </w:t>
      </w:r>
      <w:r w:rsidRPr="004E27BE">
        <w:rPr>
          <w:rFonts w:ascii="Times New Roman" w:hAnsi="Times New Roman"/>
          <w:b/>
        </w:rPr>
        <w:t xml:space="preserve">   </w:t>
      </w:r>
    </w:p>
    <w:p w:rsidR="004E10A4" w:rsidRPr="004E27BE" w:rsidRDefault="004E10A4" w:rsidP="00923DD7">
      <w:pPr>
        <w:spacing w:before="100" w:beforeAutospacing="1" w:after="100" w:afterAutospacing="1" w:line="240" w:lineRule="auto"/>
        <w:rPr>
          <w:rFonts w:ascii="Times New Roman" w:hAnsi="Times New Roman"/>
        </w:rPr>
      </w:pPr>
      <w:r w:rsidRPr="004E27BE">
        <w:rPr>
          <w:rFonts w:ascii="Times New Roman" w:hAnsi="Times New Roman"/>
        </w:rPr>
        <w:t>A steadily growing percentage of the world’s population is living in cities and towns. Finding better ways to manage urban living is an important part of the 2030 Agenda and addressing climate change.</w:t>
      </w:r>
    </w:p>
    <w:p w:rsidR="004E27BE" w:rsidRPr="004E27BE" w:rsidRDefault="004E10A4" w:rsidP="004E27BE">
      <w:pPr>
        <w:spacing w:before="100" w:beforeAutospacing="1" w:after="100" w:afterAutospacing="1" w:line="240" w:lineRule="auto"/>
        <w:rPr>
          <w:rFonts w:ascii="Times New Roman" w:hAnsi="Times New Roman"/>
        </w:rPr>
      </w:pPr>
      <w:r w:rsidRPr="004E27BE">
        <w:rPr>
          <w:rFonts w:ascii="Times New Roman" w:hAnsi="Times New Roman"/>
        </w:rPr>
        <w:t xml:space="preserve">Cities are to be seen not in isolation, but intrinsically connected with broader ecosystem as part of a metabolism of flows and interconnected social and ecological processes. A substantial proportion of the water, energy and food that supports urban living is supplied from rural areas outside the cities. </w:t>
      </w:r>
      <w:r w:rsidR="004E27BE" w:rsidRPr="004E27BE">
        <w:rPr>
          <w:rFonts w:ascii="Times New Roman" w:hAnsi="Times New Roman"/>
        </w:rPr>
        <w:t>The largely one-way flow of these resources together with the pollution and waste generated in urban spaces have a determining effect on patterns of rural development and the integrity of the ecosystems services</w:t>
      </w:r>
      <w:r w:rsidR="004E27BE" w:rsidRPr="004E27BE">
        <w:rPr>
          <w:rFonts w:ascii="Times New Roman" w:hAnsi="Times New Roman"/>
        </w:rPr>
        <w:t xml:space="preserve">. </w:t>
      </w:r>
      <w:r w:rsidRPr="004E27BE">
        <w:rPr>
          <w:rFonts w:ascii="Times New Roman" w:hAnsi="Times New Roman"/>
        </w:rPr>
        <w:t xml:space="preserve">The Nexus approach has already shown itself to have a crucial part to play in ensuring that the supply of water, energy and food services to cities is managed in ways that optimize and balance the needs of both urban and rural communities in a just, equitable and sustainable way.  </w:t>
      </w:r>
    </w:p>
    <w:p w:rsidR="004E10A4" w:rsidRPr="004E27BE" w:rsidRDefault="004E27BE" w:rsidP="00923DD7">
      <w:pPr>
        <w:spacing w:before="100" w:beforeAutospacing="1" w:after="100" w:afterAutospacing="1" w:line="240" w:lineRule="auto"/>
        <w:rPr>
          <w:rFonts w:ascii="Times New Roman" w:hAnsi="Times New Roman"/>
        </w:rPr>
      </w:pPr>
      <w:r>
        <w:rPr>
          <w:rFonts w:ascii="Times New Roman" w:hAnsi="Times New Roman"/>
        </w:rPr>
        <w:t>In addition, i</w:t>
      </w:r>
      <w:r w:rsidRPr="004E27BE">
        <w:rPr>
          <w:rFonts w:ascii="Times New Roman" w:hAnsi="Times New Roman"/>
        </w:rPr>
        <w:t xml:space="preserve">f planetary boundaries were not going to be exceeded, then 100% of GDP growth in future will have to come from productivity growth, most of which will take place in the urban setting. It was </w:t>
      </w:r>
      <w:r w:rsidRPr="004E27BE">
        <w:rPr>
          <w:rFonts w:ascii="Times New Roman" w:hAnsi="Times New Roman"/>
        </w:rPr>
        <w:lastRenderedPageBreak/>
        <w:t>argued therefore, that the future urban nexus or New Urban Agenda must be about reintegrating systems, services, silo’s and social behaviors. The consideration of the Water, Energy, Food, and Climate Nexus in the context of the need to re-integrate urban and rural service silos in our development planning and governance models also enhanced the understanding of connections among other issue related</w:t>
      </w:r>
      <w:r w:rsidRPr="004E27BE">
        <w:rPr>
          <w:rFonts w:ascii="Times New Roman" w:hAnsi="Times New Roman"/>
        </w:rPr>
        <w:t xml:space="preserve"> to the SDGs</w:t>
      </w:r>
      <w:r w:rsidRPr="004E27BE">
        <w:rPr>
          <w:rFonts w:ascii="Times New Roman" w:hAnsi="Times New Roman"/>
        </w:rPr>
        <w:t>.</w:t>
      </w:r>
    </w:p>
    <w:p w:rsidR="004E10A4" w:rsidRPr="00923DD7" w:rsidRDefault="004E10A4" w:rsidP="00923DD7">
      <w:pPr>
        <w:spacing w:before="100" w:beforeAutospacing="1" w:after="100" w:afterAutospacing="1" w:line="240" w:lineRule="auto"/>
        <w:rPr>
          <w:rFonts w:ascii="Times New Roman" w:hAnsi="Times New Roman"/>
          <w:b/>
        </w:rPr>
      </w:pPr>
      <w:r w:rsidRPr="00923DD7">
        <w:rPr>
          <w:rFonts w:ascii="Times New Roman" w:hAnsi="Times New Roman"/>
          <w:b/>
        </w:rPr>
        <w:t xml:space="preserve">Cross-cutting issues for the Nexus approach: </w:t>
      </w:r>
      <w:r w:rsidRPr="00923DD7">
        <w:rPr>
          <w:rFonts w:ascii="Times New Roman" w:hAnsi="Times New Roman"/>
          <w:i/>
        </w:rPr>
        <w:t>We urge all those concerned with the advancement of sustainability to consider adopting a Nexus-style of analysis and action to identify the strongest interconnections between various goals and targets in related areas and to generate integrated approaches and policies for them.</w:t>
      </w:r>
    </w:p>
    <w:p w:rsidR="004E10A4" w:rsidRPr="00923DD7" w:rsidRDefault="004E10A4" w:rsidP="00923DD7">
      <w:pPr>
        <w:spacing w:before="100" w:beforeAutospacing="1" w:after="100" w:afterAutospacing="1" w:line="240" w:lineRule="auto"/>
        <w:rPr>
          <w:rFonts w:ascii="Times New Roman" w:hAnsi="Times New Roman"/>
        </w:rPr>
      </w:pPr>
      <w:r w:rsidRPr="00923DD7">
        <w:rPr>
          <w:rFonts w:ascii="Times New Roman" w:hAnsi="Times New Roman"/>
        </w:rPr>
        <w:t xml:space="preserve">The Nexus approach has already demonstrated its practical utility in assisting analysis and delivering sustainable solutions. This year’s successful conference showcased that the Nexus community is growing in numbers, in depth of analysis and in influence. We maintained that the main focus of the Nexus is Water, Energy, Food, and Climate, however, we believe that the time has come to apply the approach more widely as it can help to enhance the understanding of connections among other issue such as health, gender, human mobility, population growth and other matters pertaining to the 2030 Agenda. </w:t>
      </w:r>
    </w:p>
    <w:p w:rsidR="004E10A4" w:rsidRPr="00923DD7" w:rsidRDefault="004E10A4" w:rsidP="00923DD7">
      <w:pPr>
        <w:spacing w:before="100" w:beforeAutospacing="1" w:after="100" w:afterAutospacing="1" w:line="240" w:lineRule="auto"/>
        <w:rPr>
          <w:rFonts w:ascii="Times New Roman" w:hAnsi="Times New Roman"/>
        </w:rPr>
      </w:pPr>
      <w:r w:rsidRPr="00923DD7">
        <w:rPr>
          <w:rFonts w:ascii="Times New Roman" w:hAnsi="Times New Roman"/>
          <w:b/>
        </w:rPr>
        <w:t>Governance</w:t>
      </w:r>
      <w:r w:rsidRPr="00923DD7">
        <w:rPr>
          <w:rFonts w:ascii="Times New Roman" w:hAnsi="Times New Roman"/>
        </w:rPr>
        <w:t xml:space="preserve">: </w:t>
      </w:r>
      <w:r w:rsidRPr="00923DD7">
        <w:rPr>
          <w:rFonts w:ascii="Times New Roman" w:hAnsi="Times New Roman"/>
          <w:i/>
        </w:rPr>
        <w:t xml:space="preserve">We recommend that the governance dimension should from the outset be factored into any new Nexus analyses and policy recommendations that emerge. </w:t>
      </w:r>
    </w:p>
    <w:p w:rsidR="004E10A4" w:rsidRPr="00923DD7" w:rsidRDefault="004E10A4" w:rsidP="00923DD7">
      <w:pPr>
        <w:spacing w:before="100" w:beforeAutospacing="1" w:after="100" w:afterAutospacing="1" w:line="240" w:lineRule="auto"/>
        <w:rPr>
          <w:rFonts w:ascii="Times New Roman" w:hAnsi="Times New Roman"/>
        </w:rPr>
      </w:pPr>
      <w:r w:rsidRPr="00923DD7">
        <w:rPr>
          <w:rFonts w:ascii="Times New Roman" w:hAnsi="Times New Roman"/>
        </w:rPr>
        <w:t>We recognized the key role that governance structures and processes play when addressing Nexus issues and the SDGs. Implementation of the Agenda necessitates the creation of appropriate mechanisms to facilitate coordination among various levels of government.</w:t>
      </w:r>
    </w:p>
    <w:p w:rsidR="004E10A4" w:rsidRPr="00923DD7" w:rsidRDefault="004E10A4" w:rsidP="00923DD7">
      <w:pPr>
        <w:spacing w:before="100" w:beforeAutospacing="1" w:after="100" w:afterAutospacing="1" w:line="240" w:lineRule="auto"/>
        <w:rPr>
          <w:rFonts w:ascii="Times New Roman" w:hAnsi="Times New Roman"/>
        </w:rPr>
      </w:pPr>
      <w:r w:rsidRPr="00923DD7">
        <w:rPr>
          <w:rFonts w:ascii="Times New Roman" w:hAnsi="Times New Roman"/>
        </w:rPr>
        <w:t xml:space="preserve"> Good governance includes: strengthening interconnections between those responsible for different sectors and the delivery of various SDGs so as to increase the amount of information and tools share across different silos while maintaining their disciplinary value; building co-operative relationships between different levels of government; engaging all relevant stakeholders in effective multi-stakeholder processes for delivering the SDGs; ensuring that the private sector is incentivized; </w:t>
      </w:r>
      <w:r w:rsidRPr="00923DD7">
        <w:rPr>
          <w:rFonts w:ascii="Times New Roman" w:hAnsi="Times New Roman"/>
          <w:color w:val="000000" w:themeColor="text1"/>
        </w:rPr>
        <w:t>enhancing the contribution of public private partnerships through clear guidance and rules</w:t>
      </w:r>
      <w:r w:rsidRPr="00923DD7">
        <w:rPr>
          <w:rFonts w:ascii="Times New Roman" w:hAnsi="Times New Roman"/>
        </w:rPr>
        <w:t xml:space="preserve">, and mobilizing the public in active support of the sustainability transformation. Throughout the conference we identified a variety of cases in which such practices are already taking place.  </w:t>
      </w:r>
    </w:p>
    <w:p w:rsidR="004E10A4" w:rsidRPr="00923DD7" w:rsidRDefault="004E10A4" w:rsidP="00923DD7">
      <w:pPr>
        <w:spacing w:before="100" w:beforeAutospacing="1" w:after="100" w:afterAutospacing="1" w:line="240" w:lineRule="auto"/>
        <w:rPr>
          <w:rFonts w:ascii="Times New Roman" w:hAnsi="Times New Roman"/>
        </w:rPr>
      </w:pPr>
      <w:r w:rsidRPr="00923DD7">
        <w:rPr>
          <w:rFonts w:ascii="Times New Roman" w:hAnsi="Times New Roman"/>
          <w:b/>
        </w:rPr>
        <w:t xml:space="preserve">Finance: </w:t>
      </w:r>
      <w:r w:rsidRPr="00923DD7">
        <w:rPr>
          <w:rFonts w:ascii="Times New Roman" w:hAnsi="Times New Roman"/>
          <w:i/>
        </w:rPr>
        <w:t>We recommend Nexus-style analysis be built into public and private financial appraisal systems to ensure that investments support key integration objectives and appropriate co-operation between different levels of governance, and between the public and private sectors.</w:t>
      </w:r>
    </w:p>
    <w:p w:rsidR="004E10A4" w:rsidRPr="00923DD7" w:rsidRDefault="004E10A4" w:rsidP="00923DD7">
      <w:pPr>
        <w:spacing w:before="100" w:beforeAutospacing="1" w:after="100" w:afterAutospacing="1" w:line="240" w:lineRule="auto"/>
        <w:rPr>
          <w:rFonts w:ascii="Times New Roman" w:hAnsi="Times New Roman"/>
        </w:rPr>
      </w:pPr>
      <w:r w:rsidRPr="00923DD7">
        <w:rPr>
          <w:rFonts w:ascii="Times New Roman" w:hAnsi="Times New Roman"/>
        </w:rPr>
        <w:t xml:space="preserve">Finance and investment – be it public or private –  are crucial factors in shaping future development. It is essential that those responsible for directing those flows do so in a way that supports Nexus integration objectives, and abjures unsustainable investments assessed on old-fashioned narrow terms and based on short-term economic criteria. Financial incentives at national and global levels should examine innovative methods to better calibrate incentives to accelerate progress and to measure corporate contribution to the SDGs. </w:t>
      </w:r>
    </w:p>
    <w:p w:rsidR="004E10A4" w:rsidRPr="00923DD7" w:rsidRDefault="004E10A4" w:rsidP="00923DD7">
      <w:pPr>
        <w:spacing w:before="100" w:beforeAutospacing="1" w:after="100" w:afterAutospacing="1" w:line="240" w:lineRule="auto"/>
        <w:rPr>
          <w:rFonts w:ascii="Times New Roman" w:hAnsi="Times New Roman"/>
        </w:rPr>
      </w:pPr>
      <w:r w:rsidRPr="00923DD7">
        <w:rPr>
          <w:rFonts w:ascii="Times New Roman" w:hAnsi="Times New Roman"/>
        </w:rPr>
        <w:t>Innovative forms of financing means that it is necessary to bridge the gap between short-term and long-term investment, macro and micro economics, and global and local financing. Other innovative examples advocated by the Nexus community include mandatory sustainability reporting in Stock Exchanges and expanding the base of analysis used by credit rating agencies to include in their rating system the SDGs were cited as opportunities to effect change at a systemic level.</w:t>
      </w:r>
    </w:p>
    <w:p w:rsidR="004E10A4" w:rsidRPr="00923DD7" w:rsidRDefault="004E10A4" w:rsidP="00923DD7">
      <w:pPr>
        <w:spacing w:before="100" w:beforeAutospacing="1" w:after="100" w:afterAutospacing="1" w:line="240" w:lineRule="auto"/>
        <w:rPr>
          <w:rFonts w:ascii="Times New Roman" w:hAnsi="Times New Roman"/>
        </w:rPr>
      </w:pPr>
      <w:r w:rsidRPr="00923DD7">
        <w:rPr>
          <w:rFonts w:ascii="Times New Roman" w:hAnsi="Times New Roman"/>
        </w:rPr>
        <w:lastRenderedPageBreak/>
        <w:t xml:space="preserve"> Sustainable finance should as well have at its heart new ways of measuring Return on Investment. We invite to broaden the measurement of this and other financial or economic indicators such as GDP to include not only to economic analysis, but also social and environmental.</w:t>
      </w:r>
    </w:p>
    <w:p w:rsidR="004E10A4" w:rsidRPr="00923DD7" w:rsidRDefault="004E10A4" w:rsidP="00923DD7">
      <w:pPr>
        <w:spacing w:before="100" w:beforeAutospacing="1" w:after="100" w:afterAutospacing="1" w:line="240" w:lineRule="auto"/>
        <w:rPr>
          <w:rFonts w:ascii="Times New Roman" w:hAnsi="Times New Roman"/>
        </w:rPr>
      </w:pPr>
      <w:r w:rsidRPr="00923DD7">
        <w:rPr>
          <w:rFonts w:ascii="Times New Roman" w:hAnsi="Times New Roman"/>
        </w:rPr>
        <w:t xml:space="preserve"> Finally, we want to recognize the importance of providing finance and support to the developing world to deliver the SDGs, and to consider the impact that unsustainable financing can have on least develop countries. As well we encourage further investment and financing of Nexus related research and tools aimed at delivering the SDGs.  </w:t>
      </w:r>
    </w:p>
    <w:p w:rsidR="004E10A4" w:rsidRPr="00923DD7" w:rsidRDefault="004E10A4" w:rsidP="00923DD7">
      <w:pPr>
        <w:spacing w:before="100" w:beforeAutospacing="1" w:after="100" w:afterAutospacing="1" w:line="240" w:lineRule="auto"/>
        <w:rPr>
          <w:rFonts w:ascii="Times New Roman" w:hAnsi="Times New Roman"/>
        </w:rPr>
      </w:pPr>
      <w:r w:rsidRPr="00923DD7">
        <w:rPr>
          <w:rFonts w:ascii="Times New Roman" w:hAnsi="Times New Roman"/>
          <w:b/>
        </w:rPr>
        <w:t>Linking Nexus analysis to Policies Formulation</w:t>
      </w:r>
      <w:r w:rsidRPr="00923DD7">
        <w:rPr>
          <w:rFonts w:ascii="Times New Roman" w:hAnsi="Times New Roman"/>
        </w:rPr>
        <w:t xml:space="preserve">:  </w:t>
      </w:r>
      <w:r w:rsidRPr="00923DD7">
        <w:rPr>
          <w:rFonts w:ascii="Times New Roman" w:hAnsi="Times New Roman"/>
          <w:i/>
        </w:rPr>
        <w:t>We recommend enhanced promotion of research and analysis on Nexus interlinkages between different subject areas, and linkages between such work and the policy-making community.</w:t>
      </w:r>
      <w:r w:rsidRPr="00923DD7">
        <w:rPr>
          <w:rFonts w:ascii="Times New Roman" w:hAnsi="Times New Roman"/>
          <w:b/>
        </w:rPr>
        <w:t xml:space="preserve"> </w:t>
      </w:r>
    </w:p>
    <w:p w:rsidR="004E10A4" w:rsidRPr="00923DD7" w:rsidRDefault="004E10A4" w:rsidP="00923DD7">
      <w:pPr>
        <w:spacing w:before="100" w:beforeAutospacing="1" w:after="100" w:afterAutospacing="1" w:line="240" w:lineRule="auto"/>
        <w:rPr>
          <w:rFonts w:ascii="Times New Roman" w:hAnsi="Times New Roman"/>
        </w:rPr>
      </w:pPr>
      <w:r w:rsidRPr="00923DD7">
        <w:rPr>
          <w:rFonts w:ascii="Times New Roman" w:hAnsi="Times New Roman"/>
        </w:rPr>
        <w:t xml:space="preserve">The conference demonstrated that there is a growing body of research and modelling efforts lead by the public, private and academic sector among others, that explore the Nexus between the different development challenges. Such research can provide important insights and pathways to implement innovative solutions, and be a powerful policy tools for governments at all levels. A critical challenge is to agree common language among researchers to better articulate their findings to both policymakers, the private sector and other stakeholders. </w:t>
      </w:r>
    </w:p>
    <w:p w:rsidR="004E10A4" w:rsidRPr="00923DD7" w:rsidRDefault="004E10A4" w:rsidP="00923DD7">
      <w:pPr>
        <w:spacing w:before="100" w:beforeAutospacing="1" w:after="100" w:afterAutospacing="1" w:line="240" w:lineRule="auto"/>
        <w:rPr>
          <w:rFonts w:ascii="Times New Roman" w:hAnsi="Times New Roman"/>
        </w:rPr>
      </w:pPr>
      <w:r w:rsidRPr="00923DD7">
        <w:rPr>
          <w:rFonts w:ascii="Times New Roman" w:hAnsi="Times New Roman"/>
        </w:rPr>
        <w:t xml:space="preserve">In addition, we recognized that it is essential that practical and traditional knowledge is considered as valuable to understand the Nexus interlinkages and provide insight for delivering the SDGs. </w:t>
      </w:r>
    </w:p>
    <w:p w:rsidR="004E10A4" w:rsidRPr="00923DD7" w:rsidRDefault="004E10A4" w:rsidP="00923DD7">
      <w:pPr>
        <w:spacing w:before="100" w:beforeAutospacing="1" w:after="100" w:afterAutospacing="1" w:line="240" w:lineRule="auto"/>
        <w:rPr>
          <w:rFonts w:ascii="Times New Roman" w:hAnsi="Times New Roman"/>
          <w:i/>
        </w:rPr>
      </w:pPr>
      <w:r w:rsidRPr="00923DD7">
        <w:rPr>
          <w:rFonts w:ascii="Times New Roman" w:hAnsi="Times New Roman"/>
          <w:b/>
        </w:rPr>
        <w:t>Capacity Building:</w:t>
      </w:r>
      <w:r w:rsidRPr="00923DD7">
        <w:rPr>
          <w:rFonts w:ascii="Times New Roman" w:hAnsi="Times New Roman"/>
        </w:rPr>
        <w:t xml:space="preserve"> </w:t>
      </w:r>
      <w:r w:rsidRPr="00923DD7">
        <w:rPr>
          <w:rFonts w:ascii="Times New Roman" w:hAnsi="Times New Roman"/>
          <w:i/>
        </w:rPr>
        <w:t xml:space="preserve">We recommend using a Nexus thinking when implementing capacity building for SDGs delivering as such approach can strengthen understanding regarding the various development goals, and thus equipped communities with tools to better address these challenges. </w:t>
      </w:r>
    </w:p>
    <w:p w:rsidR="004E10A4" w:rsidRPr="00923DD7" w:rsidRDefault="004E10A4" w:rsidP="00923DD7">
      <w:pPr>
        <w:spacing w:before="100" w:beforeAutospacing="1" w:after="100" w:afterAutospacing="1" w:line="240" w:lineRule="auto"/>
        <w:rPr>
          <w:rFonts w:ascii="Times New Roman" w:hAnsi="Times New Roman"/>
        </w:rPr>
      </w:pPr>
      <w:r w:rsidRPr="00923DD7">
        <w:rPr>
          <w:rFonts w:ascii="Times New Roman" w:hAnsi="Times New Roman"/>
        </w:rPr>
        <w:t xml:space="preserve">Building the capacity of people, institutions, organizations, and both the public and private sector is essential to delivering the SGDs. A Nexus-style thinking can contribute to forming stronger understandings of the interconnection between development challenges, and therefore can help to deliver better solutions. </w:t>
      </w:r>
    </w:p>
    <w:p w:rsidR="004E10A4" w:rsidRPr="00923DD7" w:rsidRDefault="004E10A4" w:rsidP="00923DD7">
      <w:pPr>
        <w:spacing w:before="100" w:beforeAutospacing="1" w:after="100" w:afterAutospacing="1" w:line="240" w:lineRule="auto"/>
        <w:rPr>
          <w:rFonts w:ascii="Times New Roman" w:hAnsi="Times New Roman"/>
        </w:rPr>
      </w:pPr>
      <w:r w:rsidRPr="00923DD7">
        <w:rPr>
          <w:rFonts w:ascii="Times New Roman" w:hAnsi="Times New Roman"/>
        </w:rPr>
        <w:t xml:space="preserve">Capacity building can help increase social and human capital and created the necessary energy to encourage the new generation of practitioners to engage with the issue presented in Agenda 2030 in an integrated way. The Nexus conference demonstrated that such new generation is emerging, however, it is necessary that they are supported as so to further develop their skills and provide them with the resource to increase their engagement. </w:t>
      </w:r>
    </w:p>
    <w:p w:rsidR="00F857E8" w:rsidRPr="00923DD7" w:rsidRDefault="0017787B" w:rsidP="00923DD7">
      <w:pPr>
        <w:spacing w:before="100" w:beforeAutospacing="1" w:after="100" w:afterAutospacing="1" w:line="240" w:lineRule="auto"/>
        <w:rPr>
          <w:rFonts w:ascii="Times New Roman" w:hAnsi="Times New Roman"/>
        </w:rPr>
      </w:pPr>
      <w:r w:rsidRPr="00923DD7">
        <w:rPr>
          <w:rFonts w:ascii="Times New Roman" w:hAnsi="Times New Roman"/>
        </w:rPr>
        <w:t xml:space="preserve"> </w:t>
      </w:r>
    </w:p>
    <w:bookmarkEnd w:id="6"/>
    <w:p w:rsidR="00C5744F" w:rsidRPr="00923DD7" w:rsidRDefault="00C5744F" w:rsidP="00923DD7">
      <w:pPr>
        <w:tabs>
          <w:tab w:val="left" w:pos="567"/>
        </w:tabs>
        <w:spacing w:after="480" w:line="240" w:lineRule="auto"/>
        <w:rPr>
          <w:rFonts w:ascii="Times New Roman" w:hAnsi="Times New Roman"/>
        </w:rPr>
      </w:pPr>
    </w:p>
    <w:p w:rsidR="00554B87" w:rsidRPr="00923DD7" w:rsidRDefault="00554B87" w:rsidP="00923DD7">
      <w:pPr>
        <w:tabs>
          <w:tab w:val="left" w:pos="567"/>
        </w:tabs>
        <w:spacing w:after="480" w:line="240" w:lineRule="auto"/>
        <w:jc w:val="center"/>
        <w:rPr>
          <w:rFonts w:ascii="Times New Roman" w:hAnsi="Times New Roman"/>
          <w:b/>
        </w:rPr>
      </w:pPr>
    </w:p>
    <w:p w:rsidR="00554B87" w:rsidRPr="00923DD7" w:rsidRDefault="00554B87" w:rsidP="00923DD7">
      <w:pPr>
        <w:tabs>
          <w:tab w:val="left" w:pos="567"/>
        </w:tabs>
        <w:spacing w:after="480" w:line="240" w:lineRule="auto"/>
        <w:jc w:val="center"/>
        <w:rPr>
          <w:rFonts w:ascii="Times New Roman" w:hAnsi="Times New Roman"/>
          <w:b/>
        </w:rPr>
      </w:pPr>
    </w:p>
    <w:p w:rsidR="00BA1414" w:rsidRPr="00923DD7" w:rsidRDefault="00BA1414" w:rsidP="004071A9">
      <w:pPr>
        <w:tabs>
          <w:tab w:val="left" w:pos="567"/>
        </w:tabs>
        <w:spacing w:after="480" w:line="240" w:lineRule="auto"/>
        <w:rPr>
          <w:rFonts w:ascii="Times New Roman" w:hAnsi="Times New Roman"/>
          <w:b/>
        </w:rPr>
      </w:pPr>
    </w:p>
    <w:p w:rsidR="00533C5A" w:rsidRPr="00533C5A" w:rsidRDefault="00BA1414" w:rsidP="00533C5A">
      <w:pPr>
        <w:tabs>
          <w:tab w:val="left" w:pos="567"/>
          <w:tab w:val="center" w:pos="4680"/>
          <w:tab w:val="right" w:pos="9360"/>
        </w:tabs>
        <w:spacing w:after="480" w:line="240" w:lineRule="auto"/>
        <w:rPr>
          <w:rFonts w:ascii="Times New Roman" w:hAnsi="Times New Roman"/>
          <w:noProof/>
          <w:lang w:val="en-CA" w:eastAsia="en-CA"/>
        </w:rPr>
      </w:pPr>
      <w:r w:rsidRPr="00923DD7">
        <w:rPr>
          <w:rFonts w:ascii="Times New Roman" w:hAnsi="Times New Roman"/>
          <w:b/>
        </w:rPr>
        <w:lastRenderedPageBreak/>
        <w:tab/>
      </w:r>
      <w:r w:rsidRPr="00923DD7">
        <w:rPr>
          <w:rFonts w:ascii="Times New Roman" w:hAnsi="Times New Roman"/>
          <w:b/>
        </w:rPr>
        <w:tab/>
      </w:r>
      <w:r w:rsidR="00847E4B" w:rsidRPr="00533C5A">
        <w:rPr>
          <w:rFonts w:ascii="Times New Roman" w:hAnsi="Times New Roman"/>
          <w:b/>
        </w:rPr>
        <w:t>CONTENTS</w:t>
      </w:r>
      <w:r w:rsidR="00F21A8B" w:rsidRPr="00533C5A">
        <w:rPr>
          <w:rFonts w:ascii="Times New Roman" w:hAnsi="Times New Roman"/>
          <w:b/>
        </w:rPr>
        <w:fldChar w:fldCharType="begin"/>
      </w:r>
      <w:r w:rsidR="00F21A8B" w:rsidRPr="00533C5A">
        <w:rPr>
          <w:rFonts w:ascii="Times New Roman" w:hAnsi="Times New Roman"/>
          <w:b/>
        </w:rPr>
        <w:instrText xml:space="preserve"> TOC \o "1-4" \h \z \u </w:instrText>
      </w:r>
      <w:r w:rsidR="00F21A8B" w:rsidRPr="00533C5A">
        <w:rPr>
          <w:rFonts w:ascii="Times New Roman" w:hAnsi="Times New Roman"/>
          <w:b/>
        </w:rPr>
        <w:fldChar w:fldCharType="separate"/>
      </w:r>
    </w:p>
    <w:p w:rsidR="00533C5A" w:rsidRPr="00533C5A" w:rsidRDefault="00533C5A">
      <w:pPr>
        <w:pStyle w:val="TOC2"/>
        <w:tabs>
          <w:tab w:val="right" w:pos="9350"/>
        </w:tabs>
        <w:rPr>
          <w:rFonts w:ascii="Times New Roman" w:hAnsi="Times New Roman"/>
          <w:noProof/>
          <w:lang w:val="en-CA" w:eastAsia="en-CA"/>
        </w:rPr>
      </w:pPr>
    </w:p>
    <w:p w:rsidR="00533C5A" w:rsidRPr="00533C5A" w:rsidRDefault="00275992">
      <w:pPr>
        <w:pStyle w:val="TOC3"/>
        <w:tabs>
          <w:tab w:val="left" w:pos="880"/>
          <w:tab w:val="right" w:pos="9350"/>
        </w:tabs>
        <w:rPr>
          <w:rFonts w:ascii="Times New Roman" w:hAnsi="Times New Roman"/>
          <w:noProof/>
          <w:lang w:val="en-CA" w:eastAsia="en-CA"/>
        </w:rPr>
      </w:pPr>
      <w:hyperlink w:anchor="_Toc512269696" w:history="1">
        <w:r w:rsidR="00533C5A" w:rsidRPr="00533C5A">
          <w:rPr>
            <w:rStyle w:val="Hyperlink"/>
            <w:rFonts w:ascii="Times New Roman" w:hAnsi="Times New Roman"/>
            <w:noProof/>
          </w:rPr>
          <w:t>1.</w:t>
        </w:r>
        <w:r w:rsidR="00533C5A" w:rsidRPr="00533C5A">
          <w:rPr>
            <w:rFonts w:ascii="Times New Roman" w:hAnsi="Times New Roman"/>
            <w:noProof/>
            <w:lang w:val="en-CA" w:eastAsia="en-CA"/>
          </w:rPr>
          <w:tab/>
        </w:r>
        <w:r w:rsidR="00533C5A" w:rsidRPr="00533C5A">
          <w:rPr>
            <w:rStyle w:val="Hyperlink"/>
            <w:rFonts w:ascii="Times New Roman" w:hAnsi="Times New Roman"/>
            <w:noProof/>
          </w:rPr>
          <w:t>INTRODUCTION</w:t>
        </w:r>
        <w:r w:rsidR="00533C5A" w:rsidRPr="00533C5A">
          <w:rPr>
            <w:rFonts w:ascii="Times New Roman" w:hAnsi="Times New Roman"/>
            <w:noProof/>
            <w:webHidden/>
          </w:rPr>
          <w:tab/>
        </w:r>
        <w:r w:rsidR="00533C5A" w:rsidRPr="00533C5A">
          <w:rPr>
            <w:rFonts w:ascii="Times New Roman" w:hAnsi="Times New Roman"/>
            <w:noProof/>
            <w:webHidden/>
          </w:rPr>
          <w:fldChar w:fldCharType="begin"/>
        </w:r>
        <w:r w:rsidR="00533C5A" w:rsidRPr="00533C5A">
          <w:rPr>
            <w:rFonts w:ascii="Times New Roman" w:hAnsi="Times New Roman"/>
            <w:noProof/>
            <w:webHidden/>
          </w:rPr>
          <w:instrText xml:space="preserve"> PAGEREF _Toc512269696 \h </w:instrText>
        </w:r>
        <w:r w:rsidR="00533C5A" w:rsidRPr="00533C5A">
          <w:rPr>
            <w:rFonts w:ascii="Times New Roman" w:hAnsi="Times New Roman"/>
            <w:noProof/>
            <w:webHidden/>
          </w:rPr>
        </w:r>
        <w:r w:rsidR="00533C5A" w:rsidRPr="00533C5A">
          <w:rPr>
            <w:rFonts w:ascii="Times New Roman" w:hAnsi="Times New Roman"/>
            <w:noProof/>
            <w:webHidden/>
          </w:rPr>
          <w:fldChar w:fldCharType="separate"/>
        </w:r>
        <w:r w:rsidR="00DC5B53">
          <w:rPr>
            <w:rFonts w:ascii="Times New Roman" w:hAnsi="Times New Roman"/>
            <w:noProof/>
            <w:webHidden/>
          </w:rPr>
          <w:t>6</w:t>
        </w:r>
        <w:r w:rsidR="00533C5A" w:rsidRPr="00533C5A">
          <w:rPr>
            <w:rFonts w:ascii="Times New Roman" w:hAnsi="Times New Roman"/>
            <w:noProof/>
            <w:webHidden/>
          </w:rPr>
          <w:fldChar w:fldCharType="end"/>
        </w:r>
      </w:hyperlink>
    </w:p>
    <w:p w:rsidR="00533C5A" w:rsidRPr="00533C5A" w:rsidRDefault="00275992">
      <w:pPr>
        <w:pStyle w:val="TOC3"/>
        <w:tabs>
          <w:tab w:val="left" w:pos="880"/>
          <w:tab w:val="right" w:pos="9350"/>
        </w:tabs>
        <w:rPr>
          <w:rFonts w:ascii="Times New Roman" w:hAnsi="Times New Roman"/>
          <w:noProof/>
          <w:lang w:val="en-CA" w:eastAsia="en-CA"/>
        </w:rPr>
      </w:pPr>
      <w:hyperlink w:anchor="_Toc512269697" w:history="1">
        <w:r w:rsidR="00533C5A" w:rsidRPr="00533C5A">
          <w:rPr>
            <w:rStyle w:val="Hyperlink"/>
            <w:rFonts w:ascii="Times New Roman" w:hAnsi="Times New Roman"/>
            <w:noProof/>
          </w:rPr>
          <w:t>2.</w:t>
        </w:r>
        <w:r w:rsidR="00533C5A" w:rsidRPr="00533C5A">
          <w:rPr>
            <w:rFonts w:ascii="Times New Roman" w:hAnsi="Times New Roman"/>
            <w:noProof/>
            <w:lang w:val="en-CA" w:eastAsia="en-CA"/>
          </w:rPr>
          <w:tab/>
        </w:r>
        <w:r w:rsidR="00533C5A" w:rsidRPr="00533C5A">
          <w:rPr>
            <w:rStyle w:val="Hyperlink"/>
            <w:rFonts w:ascii="Times New Roman" w:hAnsi="Times New Roman"/>
            <w:noProof/>
          </w:rPr>
          <w:t>HIGHLIGHTING CHALLENGES TO DELIVERING THE SDGS BEING REVIEWED IN 2018</w:t>
        </w:r>
        <w:r w:rsidR="00533C5A" w:rsidRPr="00533C5A">
          <w:rPr>
            <w:rFonts w:ascii="Times New Roman" w:hAnsi="Times New Roman"/>
            <w:noProof/>
            <w:webHidden/>
          </w:rPr>
          <w:tab/>
        </w:r>
        <w:r w:rsidR="00533C5A" w:rsidRPr="00533C5A">
          <w:rPr>
            <w:rFonts w:ascii="Times New Roman" w:hAnsi="Times New Roman"/>
            <w:noProof/>
            <w:webHidden/>
          </w:rPr>
          <w:fldChar w:fldCharType="begin"/>
        </w:r>
        <w:r w:rsidR="00533C5A" w:rsidRPr="00533C5A">
          <w:rPr>
            <w:rFonts w:ascii="Times New Roman" w:hAnsi="Times New Roman"/>
            <w:noProof/>
            <w:webHidden/>
          </w:rPr>
          <w:instrText xml:space="preserve"> PAGEREF _Toc512269697 \h </w:instrText>
        </w:r>
        <w:r w:rsidR="00533C5A" w:rsidRPr="00533C5A">
          <w:rPr>
            <w:rFonts w:ascii="Times New Roman" w:hAnsi="Times New Roman"/>
            <w:noProof/>
            <w:webHidden/>
          </w:rPr>
        </w:r>
        <w:r w:rsidR="00533C5A" w:rsidRPr="00533C5A">
          <w:rPr>
            <w:rFonts w:ascii="Times New Roman" w:hAnsi="Times New Roman"/>
            <w:noProof/>
            <w:webHidden/>
          </w:rPr>
          <w:fldChar w:fldCharType="separate"/>
        </w:r>
        <w:r w:rsidR="00DC5B53">
          <w:rPr>
            <w:rFonts w:ascii="Times New Roman" w:hAnsi="Times New Roman"/>
            <w:noProof/>
            <w:webHidden/>
          </w:rPr>
          <w:t>7</w:t>
        </w:r>
        <w:r w:rsidR="00533C5A" w:rsidRPr="00533C5A">
          <w:rPr>
            <w:rFonts w:ascii="Times New Roman" w:hAnsi="Times New Roman"/>
            <w:noProof/>
            <w:webHidden/>
          </w:rPr>
          <w:fldChar w:fldCharType="end"/>
        </w:r>
      </w:hyperlink>
    </w:p>
    <w:p w:rsidR="00533C5A" w:rsidRPr="00533C5A" w:rsidRDefault="00275992">
      <w:pPr>
        <w:pStyle w:val="TOC4"/>
        <w:tabs>
          <w:tab w:val="left" w:pos="1320"/>
          <w:tab w:val="right" w:pos="9350"/>
        </w:tabs>
        <w:rPr>
          <w:rFonts w:ascii="Times New Roman" w:hAnsi="Times New Roman"/>
          <w:noProof/>
          <w:lang w:val="en-CA" w:eastAsia="en-CA"/>
        </w:rPr>
      </w:pPr>
      <w:hyperlink w:anchor="_Toc512269698" w:history="1">
        <w:r w:rsidR="00533C5A" w:rsidRPr="00533C5A">
          <w:rPr>
            <w:rStyle w:val="Hyperlink"/>
            <w:rFonts w:ascii="Times New Roman" w:hAnsi="Times New Roman"/>
            <w:noProof/>
          </w:rPr>
          <w:t>2.1</w:t>
        </w:r>
        <w:r w:rsidR="00533C5A" w:rsidRPr="00533C5A">
          <w:rPr>
            <w:rFonts w:ascii="Times New Roman" w:hAnsi="Times New Roman"/>
            <w:noProof/>
            <w:lang w:val="en-CA" w:eastAsia="en-CA"/>
          </w:rPr>
          <w:tab/>
        </w:r>
        <w:r w:rsidR="00533C5A" w:rsidRPr="00533C5A">
          <w:rPr>
            <w:rStyle w:val="Hyperlink"/>
            <w:rFonts w:ascii="Times New Roman" w:hAnsi="Times New Roman"/>
            <w:noProof/>
          </w:rPr>
          <w:t>Goal 6: Ensure availability and sustainable management of water and sanitation for all</w:t>
        </w:r>
        <w:r w:rsidR="00533C5A" w:rsidRPr="00533C5A">
          <w:rPr>
            <w:rFonts w:ascii="Times New Roman" w:hAnsi="Times New Roman"/>
            <w:noProof/>
            <w:webHidden/>
          </w:rPr>
          <w:tab/>
        </w:r>
        <w:r w:rsidR="00533C5A" w:rsidRPr="00533C5A">
          <w:rPr>
            <w:rFonts w:ascii="Times New Roman" w:hAnsi="Times New Roman"/>
            <w:noProof/>
            <w:webHidden/>
          </w:rPr>
          <w:fldChar w:fldCharType="begin"/>
        </w:r>
        <w:r w:rsidR="00533C5A" w:rsidRPr="00533C5A">
          <w:rPr>
            <w:rFonts w:ascii="Times New Roman" w:hAnsi="Times New Roman"/>
            <w:noProof/>
            <w:webHidden/>
          </w:rPr>
          <w:instrText xml:space="preserve"> PAGEREF _Toc512269698 \h </w:instrText>
        </w:r>
        <w:r w:rsidR="00533C5A" w:rsidRPr="00533C5A">
          <w:rPr>
            <w:rFonts w:ascii="Times New Roman" w:hAnsi="Times New Roman"/>
            <w:noProof/>
            <w:webHidden/>
          </w:rPr>
        </w:r>
        <w:r w:rsidR="00533C5A" w:rsidRPr="00533C5A">
          <w:rPr>
            <w:rFonts w:ascii="Times New Roman" w:hAnsi="Times New Roman"/>
            <w:noProof/>
            <w:webHidden/>
          </w:rPr>
          <w:fldChar w:fldCharType="separate"/>
        </w:r>
        <w:r w:rsidR="00DC5B53">
          <w:rPr>
            <w:rFonts w:ascii="Times New Roman" w:hAnsi="Times New Roman"/>
            <w:noProof/>
            <w:webHidden/>
          </w:rPr>
          <w:t>7</w:t>
        </w:r>
        <w:r w:rsidR="00533C5A" w:rsidRPr="00533C5A">
          <w:rPr>
            <w:rFonts w:ascii="Times New Roman" w:hAnsi="Times New Roman"/>
            <w:noProof/>
            <w:webHidden/>
          </w:rPr>
          <w:fldChar w:fldCharType="end"/>
        </w:r>
      </w:hyperlink>
    </w:p>
    <w:p w:rsidR="00533C5A" w:rsidRPr="00533C5A" w:rsidRDefault="00275992">
      <w:pPr>
        <w:pStyle w:val="TOC4"/>
        <w:tabs>
          <w:tab w:val="left" w:pos="1320"/>
          <w:tab w:val="right" w:pos="9350"/>
        </w:tabs>
        <w:rPr>
          <w:rFonts w:ascii="Times New Roman" w:hAnsi="Times New Roman"/>
          <w:noProof/>
          <w:lang w:val="en-CA" w:eastAsia="en-CA"/>
        </w:rPr>
      </w:pPr>
      <w:hyperlink w:anchor="_Toc512269699" w:history="1">
        <w:r w:rsidR="00533C5A" w:rsidRPr="00533C5A">
          <w:rPr>
            <w:rStyle w:val="Hyperlink"/>
            <w:rFonts w:ascii="Times New Roman" w:hAnsi="Times New Roman"/>
            <w:noProof/>
          </w:rPr>
          <w:t>2.2</w:t>
        </w:r>
        <w:r w:rsidR="00533C5A" w:rsidRPr="00533C5A">
          <w:rPr>
            <w:rFonts w:ascii="Times New Roman" w:hAnsi="Times New Roman"/>
            <w:noProof/>
            <w:lang w:val="en-CA" w:eastAsia="en-CA"/>
          </w:rPr>
          <w:tab/>
        </w:r>
        <w:r w:rsidR="00533C5A" w:rsidRPr="00533C5A">
          <w:rPr>
            <w:rStyle w:val="Hyperlink"/>
            <w:rFonts w:ascii="Times New Roman" w:hAnsi="Times New Roman"/>
            <w:noProof/>
          </w:rPr>
          <w:t>Goal 7: Ensure access to affordable, reliable, sustainable and modern energy for all</w:t>
        </w:r>
        <w:r w:rsidR="00533C5A" w:rsidRPr="00533C5A">
          <w:rPr>
            <w:rFonts w:ascii="Times New Roman" w:hAnsi="Times New Roman"/>
            <w:noProof/>
            <w:webHidden/>
          </w:rPr>
          <w:tab/>
        </w:r>
        <w:r w:rsidR="00533C5A" w:rsidRPr="00533C5A">
          <w:rPr>
            <w:rFonts w:ascii="Times New Roman" w:hAnsi="Times New Roman"/>
            <w:noProof/>
            <w:webHidden/>
          </w:rPr>
          <w:fldChar w:fldCharType="begin"/>
        </w:r>
        <w:r w:rsidR="00533C5A" w:rsidRPr="00533C5A">
          <w:rPr>
            <w:rFonts w:ascii="Times New Roman" w:hAnsi="Times New Roman"/>
            <w:noProof/>
            <w:webHidden/>
          </w:rPr>
          <w:instrText xml:space="preserve"> PAGEREF _Toc512269699 \h </w:instrText>
        </w:r>
        <w:r w:rsidR="00533C5A" w:rsidRPr="00533C5A">
          <w:rPr>
            <w:rFonts w:ascii="Times New Roman" w:hAnsi="Times New Roman"/>
            <w:noProof/>
            <w:webHidden/>
          </w:rPr>
        </w:r>
        <w:r w:rsidR="00533C5A" w:rsidRPr="00533C5A">
          <w:rPr>
            <w:rFonts w:ascii="Times New Roman" w:hAnsi="Times New Roman"/>
            <w:noProof/>
            <w:webHidden/>
          </w:rPr>
          <w:fldChar w:fldCharType="separate"/>
        </w:r>
        <w:r w:rsidR="00DC5B53">
          <w:rPr>
            <w:rFonts w:ascii="Times New Roman" w:hAnsi="Times New Roman"/>
            <w:noProof/>
            <w:webHidden/>
          </w:rPr>
          <w:t>8</w:t>
        </w:r>
        <w:r w:rsidR="00533C5A" w:rsidRPr="00533C5A">
          <w:rPr>
            <w:rFonts w:ascii="Times New Roman" w:hAnsi="Times New Roman"/>
            <w:noProof/>
            <w:webHidden/>
          </w:rPr>
          <w:fldChar w:fldCharType="end"/>
        </w:r>
      </w:hyperlink>
    </w:p>
    <w:p w:rsidR="00533C5A" w:rsidRPr="00533C5A" w:rsidRDefault="00275992">
      <w:pPr>
        <w:pStyle w:val="TOC4"/>
        <w:tabs>
          <w:tab w:val="left" w:pos="1320"/>
          <w:tab w:val="right" w:pos="9350"/>
        </w:tabs>
        <w:rPr>
          <w:rFonts w:ascii="Times New Roman" w:hAnsi="Times New Roman"/>
          <w:noProof/>
          <w:lang w:val="en-CA" w:eastAsia="en-CA"/>
        </w:rPr>
      </w:pPr>
      <w:hyperlink w:anchor="_Toc512269700" w:history="1">
        <w:r w:rsidR="00533C5A" w:rsidRPr="00533C5A">
          <w:rPr>
            <w:rStyle w:val="Hyperlink"/>
            <w:rFonts w:ascii="Times New Roman" w:hAnsi="Times New Roman"/>
            <w:noProof/>
          </w:rPr>
          <w:t>2.3</w:t>
        </w:r>
        <w:r w:rsidR="00533C5A" w:rsidRPr="00533C5A">
          <w:rPr>
            <w:rFonts w:ascii="Times New Roman" w:hAnsi="Times New Roman"/>
            <w:noProof/>
            <w:lang w:val="en-CA" w:eastAsia="en-CA"/>
          </w:rPr>
          <w:tab/>
        </w:r>
        <w:r w:rsidR="00533C5A" w:rsidRPr="00533C5A">
          <w:rPr>
            <w:rStyle w:val="Hyperlink"/>
            <w:rFonts w:ascii="Times New Roman" w:hAnsi="Times New Roman"/>
            <w:noProof/>
          </w:rPr>
          <w:t>Goal 11: Make cities and human settlements inclusive, safe, resilient and sustainable</w:t>
        </w:r>
        <w:r w:rsidR="00533C5A" w:rsidRPr="00533C5A">
          <w:rPr>
            <w:rFonts w:ascii="Times New Roman" w:hAnsi="Times New Roman"/>
            <w:noProof/>
            <w:webHidden/>
          </w:rPr>
          <w:tab/>
        </w:r>
        <w:r w:rsidR="00533C5A" w:rsidRPr="00533C5A">
          <w:rPr>
            <w:rFonts w:ascii="Times New Roman" w:hAnsi="Times New Roman"/>
            <w:noProof/>
            <w:webHidden/>
          </w:rPr>
          <w:fldChar w:fldCharType="begin"/>
        </w:r>
        <w:r w:rsidR="00533C5A" w:rsidRPr="00533C5A">
          <w:rPr>
            <w:rFonts w:ascii="Times New Roman" w:hAnsi="Times New Roman"/>
            <w:noProof/>
            <w:webHidden/>
          </w:rPr>
          <w:instrText xml:space="preserve"> PAGEREF _Toc512269700 \h </w:instrText>
        </w:r>
        <w:r w:rsidR="00533C5A" w:rsidRPr="00533C5A">
          <w:rPr>
            <w:rFonts w:ascii="Times New Roman" w:hAnsi="Times New Roman"/>
            <w:noProof/>
            <w:webHidden/>
          </w:rPr>
        </w:r>
        <w:r w:rsidR="00533C5A" w:rsidRPr="00533C5A">
          <w:rPr>
            <w:rFonts w:ascii="Times New Roman" w:hAnsi="Times New Roman"/>
            <w:noProof/>
            <w:webHidden/>
          </w:rPr>
          <w:fldChar w:fldCharType="separate"/>
        </w:r>
        <w:r w:rsidR="00DC5B53">
          <w:rPr>
            <w:rFonts w:ascii="Times New Roman" w:hAnsi="Times New Roman"/>
            <w:noProof/>
            <w:webHidden/>
          </w:rPr>
          <w:t>8</w:t>
        </w:r>
        <w:r w:rsidR="00533C5A" w:rsidRPr="00533C5A">
          <w:rPr>
            <w:rFonts w:ascii="Times New Roman" w:hAnsi="Times New Roman"/>
            <w:noProof/>
            <w:webHidden/>
          </w:rPr>
          <w:fldChar w:fldCharType="end"/>
        </w:r>
      </w:hyperlink>
    </w:p>
    <w:p w:rsidR="00533C5A" w:rsidRPr="00533C5A" w:rsidRDefault="00275992">
      <w:pPr>
        <w:pStyle w:val="TOC4"/>
        <w:tabs>
          <w:tab w:val="left" w:pos="1320"/>
          <w:tab w:val="right" w:pos="9350"/>
        </w:tabs>
        <w:rPr>
          <w:rFonts w:ascii="Times New Roman" w:hAnsi="Times New Roman"/>
          <w:noProof/>
          <w:lang w:val="en-CA" w:eastAsia="en-CA"/>
        </w:rPr>
      </w:pPr>
      <w:hyperlink w:anchor="_Toc512269701" w:history="1">
        <w:r w:rsidR="00533C5A" w:rsidRPr="00533C5A">
          <w:rPr>
            <w:rStyle w:val="Hyperlink"/>
            <w:rFonts w:ascii="Times New Roman" w:hAnsi="Times New Roman"/>
            <w:noProof/>
          </w:rPr>
          <w:t>2.4</w:t>
        </w:r>
        <w:r w:rsidR="00533C5A" w:rsidRPr="00533C5A">
          <w:rPr>
            <w:rFonts w:ascii="Times New Roman" w:hAnsi="Times New Roman"/>
            <w:noProof/>
            <w:lang w:val="en-CA" w:eastAsia="en-CA"/>
          </w:rPr>
          <w:tab/>
        </w:r>
        <w:r w:rsidR="00533C5A" w:rsidRPr="00533C5A">
          <w:rPr>
            <w:rStyle w:val="Hyperlink"/>
            <w:rFonts w:ascii="Times New Roman" w:hAnsi="Times New Roman"/>
            <w:noProof/>
          </w:rPr>
          <w:t>Goal 12: Ensure sustainable consumption and production patterns</w:t>
        </w:r>
        <w:r w:rsidR="00533C5A" w:rsidRPr="00533C5A">
          <w:rPr>
            <w:rFonts w:ascii="Times New Roman" w:hAnsi="Times New Roman"/>
            <w:noProof/>
            <w:webHidden/>
          </w:rPr>
          <w:tab/>
        </w:r>
        <w:r w:rsidR="00533C5A" w:rsidRPr="00533C5A">
          <w:rPr>
            <w:rFonts w:ascii="Times New Roman" w:hAnsi="Times New Roman"/>
            <w:noProof/>
            <w:webHidden/>
          </w:rPr>
          <w:fldChar w:fldCharType="begin"/>
        </w:r>
        <w:r w:rsidR="00533C5A" w:rsidRPr="00533C5A">
          <w:rPr>
            <w:rFonts w:ascii="Times New Roman" w:hAnsi="Times New Roman"/>
            <w:noProof/>
            <w:webHidden/>
          </w:rPr>
          <w:instrText xml:space="preserve"> PAGEREF _Toc512269701 \h </w:instrText>
        </w:r>
        <w:r w:rsidR="00533C5A" w:rsidRPr="00533C5A">
          <w:rPr>
            <w:rFonts w:ascii="Times New Roman" w:hAnsi="Times New Roman"/>
            <w:noProof/>
            <w:webHidden/>
          </w:rPr>
        </w:r>
        <w:r w:rsidR="00533C5A" w:rsidRPr="00533C5A">
          <w:rPr>
            <w:rFonts w:ascii="Times New Roman" w:hAnsi="Times New Roman"/>
            <w:noProof/>
            <w:webHidden/>
          </w:rPr>
          <w:fldChar w:fldCharType="separate"/>
        </w:r>
        <w:r w:rsidR="00DC5B53">
          <w:rPr>
            <w:rFonts w:ascii="Times New Roman" w:hAnsi="Times New Roman"/>
            <w:noProof/>
            <w:webHidden/>
          </w:rPr>
          <w:t>9</w:t>
        </w:r>
        <w:r w:rsidR="00533C5A" w:rsidRPr="00533C5A">
          <w:rPr>
            <w:rFonts w:ascii="Times New Roman" w:hAnsi="Times New Roman"/>
            <w:noProof/>
            <w:webHidden/>
          </w:rPr>
          <w:fldChar w:fldCharType="end"/>
        </w:r>
      </w:hyperlink>
    </w:p>
    <w:p w:rsidR="00533C5A" w:rsidRPr="00533C5A" w:rsidRDefault="00275992">
      <w:pPr>
        <w:pStyle w:val="TOC4"/>
        <w:tabs>
          <w:tab w:val="left" w:pos="1320"/>
          <w:tab w:val="right" w:pos="9350"/>
        </w:tabs>
        <w:rPr>
          <w:rFonts w:ascii="Times New Roman" w:hAnsi="Times New Roman"/>
          <w:noProof/>
          <w:lang w:val="en-CA" w:eastAsia="en-CA"/>
        </w:rPr>
      </w:pPr>
      <w:hyperlink w:anchor="_Toc512269702" w:history="1">
        <w:r w:rsidR="00533C5A" w:rsidRPr="00533C5A">
          <w:rPr>
            <w:rStyle w:val="Hyperlink"/>
            <w:rFonts w:ascii="Times New Roman" w:hAnsi="Times New Roman"/>
            <w:noProof/>
          </w:rPr>
          <w:t>2.5</w:t>
        </w:r>
        <w:r w:rsidR="00533C5A" w:rsidRPr="00533C5A">
          <w:rPr>
            <w:rFonts w:ascii="Times New Roman" w:hAnsi="Times New Roman"/>
            <w:noProof/>
            <w:lang w:val="en-CA" w:eastAsia="en-CA"/>
          </w:rPr>
          <w:tab/>
        </w:r>
        <w:r w:rsidR="00533C5A" w:rsidRPr="00533C5A">
          <w:rPr>
            <w:rStyle w:val="Hyperlink"/>
            <w:rFonts w:ascii="Times New Roman" w:hAnsi="Times New Roman"/>
            <w:noProof/>
          </w:rPr>
          <w:t>Goal 15: Protect, restore and promote sustainable use of terrestrial ecosystems, sustainably manage forests, combat desertification, and halt and reverse land degradation and halt biodiversity loss</w:t>
        </w:r>
        <w:r w:rsidR="00533C5A" w:rsidRPr="00533C5A">
          <w:rPr>
            <w:rFonts w:ascii="Times New Roman" w:hAnsi="Times New Roman"/>
            <w:noProof/>
            <w:webHidden/>
          </w:rPr>
          <w:tab/>
        </w:r>
        <w:r w:rsidR="00533C5A" w:rsidRPr="00533C5A">
          <w:rPr>
            <w:rFonts w:ascii="Times New Roman" w:hAnsi="Times New Roman"/>
            <w:noProof/>
            <w:webHidden/>
          </w:rPr>
          <w:fldChar w:fldCharType="begin"/>
        </w:r>
        <w:r w:rsidR="00533C5A" w:rsidRPr="00533C5A">
          <w:rPr>
            <w:rFonts w:ascii="Times New Roman" w:hAnsi="Times New Roman"/>
            <w:noProof/>
            <w:webHidden/>
          </w:rPr>
          <w:instrText xml:space="preserve"> PAGEREF _Toc512269702 \h </w:instrText>
        </w:r>
        <w:r w:rsidR="00533C5A" w:rsidRPr="00533C5A">
          <w:rPr>
            <w:rFonts w:ascii="Times New Roman" w:hAnsi="Times New Roman"/>
            <w:noProof/>
            <w:webHidden/>
          </w:rPr>
        </w:r>
        <w:r w:rsidR="00533C5A" w:rsidRPr="00533C5A">
          <w:rPr>
            <w:rFonts w:ascii="Times New Roman" w:hAnsi="Times New Roman"/>
            <w:noProof/>
            <w:webHidden/>
          </w:rPr>
          <w:fldChar w:fldCharType="separate"/>
        </w:r>
        <w:r w:rsidR="00DC5B53">
          <w:rPr>
            <w:rFonts w:ascii="Times New Roman" w:hAnsi="Times New Roman"/>
            <w:noProof/>
            <w:webHidden/>
          </w:rPr>
          <w:t>9</w:t>
        </w:r>
        <w:r w:rsidR="00533C5A" w:rsidRPr="00533C5A">
          <w:rPr>
            <w:rFonts w:ascii="Times New Roman" w:hAnsi="Times New Roman"/>
            <w:noProof/>
            <w:webHidden/>
          </w:rPr>
          <w:fldChar w:fldCharType="end"/>
        </w:r>
      </w:hyperlink>
    </w:p>
    <w:p w:rsidR="00533C5A" w:rsidRPr="00533C5A" w:rsidRDefault="00275992">
      <w:pPr>
        <w:pStyle w:val="TOC3"/>
        <w:tabs>
          <w:tab w:val="left" w:pos="880"/>
          <w:tab w:val="right" w:pos="9350"/>
        </w:tabs>
        <w:rPr>
          <w:rFonts w:ascii="Times New Roman" w:hAnsi="Times New Roman"/>
          <w:noProof/>
          <w:lang w:val="en-CA" w:eastAsia="en-CA"/>
        </w:rPr>
      </w:pPr>
      <w:hyperlink w:anchor="_Toc512269703" w:history="1">
        <w:r w:rsidR="00533C5A" w:rsidRPr="00533C5A">
          <w:rPr>
            <w:rStyle w:val="Hyperlink"/>
            <w:rFonts w:ascii="Times New Roman" w:hAnsi="Times New Roman"/>
            <w:noProof/>
          </w:rPr>
          <w:t>3.</w:t>
        </w:r>
        <w:r w:rsidR="00533C5A" w:rsidRPr="00533C5A">
          <w:rPr>
            <w:rFonts w:ascii="Times New Roman" w:hAnsi="Times New Roman"/>
            <w:noProof/>
            <w:lang w:val="en-CA" w:eastAsia="en-CA"/>
          </w:rPr>
          <w:tab/>
        </w:r>
        <w:r w:rsidR="00533C5A" w:rsidRPr="00533C5A">
          <w:rPr>
            <w:rStyle w:val="Hyperlink"/>
            <w:rFonts w:ascii="Times New Roman" w:hAnsi="Times New Roman"/>
            <w:noProof/>
          </w:rPr>
          <w:t>STRENGTHEN THE MEANS OF IMPLEMENTATION AND REVITALIZE THE GLOBAL PARTNERSHIP FOR SUSTAINABLE DEVELOPMENT</w:t>
        </w:r>
        <w:r w:rsidR="00533C5A" w:rsidRPr="00533C5A">
          <w:rPr>
            <w:rFonts w:ascii="Times New Roman" w:hAnsi="Times New Roman"/>
            <w:noProof/>
            <w:webHidden/>
          </w:rPr>
          <w:tab/>
        </w:r>
        <w:r w:rsidR="00533C5A" w:rsidRPr="00533C5A">
          <w:rPr>
            <w:rFonts w:ascii="Times New Roman" w:hAnsi="Times New Roman"/>
            <w:noProof/>
            <w:webHidden/>
          </w:rPr>
          <w:fldChar w:fldCharType="begin"/>
        </w:r>
        <w:r w:rsidR="00533C5A" w:rsidRPr="00533C5A">
          <w:rPr>
            <w:rFonts w:ascii="Times New Roman" w:hAnsi="Times New Roman"/>
            <w:noProof/>
            <w:webHidden/>
          </w:rPr>
          <w:instrText xml:space="preserve"> PAGEREF _Toc512269703 \h </w:instrText>
        </w:r>
        <w:r w:rsidR="00533C5A" w:rsidRPr="00533C5A">
          <w:rPr>
            <w:rFonts w:ascii="Times New Roman" w:hAnsi="Times New Roman"/>
            <w:noProof/>
            <w:webHidden/>
          </w:rPr>
        </w:r>
        <w:r w:rsidR="00533C5A" w:rsidRPr="00533C5A">
          <w:rPr>
            <w:rFonts w:ascii="Times New Roman" w:hAnsi="Times New Roman"/>
            <w:noProof/>
            <w:webHidden/>
          </w:rPr>
          <w:fldChar w:fldCharType="separate"/>
        </w:r>
        <w:r w:rsidR="00DC5B53">
          <w:rPr>
            <w:rFonts w:ascii="Times New Roman" w:hAnsi="Times New Roman"/>
            <w:noProof/>
            <w:webHidden/>
          </w:rPr>
          <w:t>10</w:t>
        </w:r>
        <w:r w:rsidR="00533C5A" w:rsidRPr="00533C5A">
          <w:rPr>
            <w:rFonts w:ascii="Times New Roman" w:hAnsi="Times New Roman"/>
            <w:noProof/>
            <w:webHidden/>
          </w:rPr>
          <w:fldChar w:fldCharType="end"/>
        </w:r>
      </w:hyperlink>
    </w:p>
    <w:p w:rsidR="00533C5A" w:rsidRPr="00533C5A" w:rsidRDefault="00275992">
      <w:pPr>
        <w:pStyle w:val="TOC4"/>
        <w:tabs>
          <w:tab w:val="left" w:pos="1320"/>
          <w:tab w:val="right" w:pos="9350"/>
        </w:tabs>
        <w:rPr>
          <w:rFonts w:ascii="Times New Roman" w:hAnsi="Times New Roman"/>
          <w:noProof/>
          <w:lang w:val="en-CA" w:eastAsia="en-CA"/>
        </w:rPr>
      </w:pPr>
      <w:hyperlink w:anchor="_Toc512269704" w:history="1">
        <w:r w:rsidR="00533C5A" w:rsidRPr="00533C5A">
          <w:rPr>
            <w:rStyle w:val="Hyperlink"/>
            <w:rFonts w:ascii="Times New Roman" w:eastAsia="Times New Roman" w:hAnsi="Times New Roman"/>
            <w:noProof/>
          </w:rPr>
          <w:t>3.1</w:t>
        </w:r>
        <w:r w:rsidR="00533C5A" w:rsidRPr="00533C5A">
          <w:rPr>
            <w:rFonts w:ascii="Times New Roman" w:hAnsi="Times New Roman"/>
            <w:noProof/>
            <w:lang w:val="en-CA" w:eastAsia="en-CA"/>
          </w:rPr>
          <w:tab/>
        </w:r>
        <w:r w:rsidR="00533C5A" w:rsidRPr="00533C5A">
          <w:rPr>
            <w:rStyle w:val="Hyperlink"/>
            <w:rFonts w:ascii="Times New Roman" w:eastAsia="Times New Roman" w:hAnsi="Times New Roman"/>
            <w:noProof/>
          </w:rPr>
          <w:t>Policy coherence</w:t>
        </w:r>
        <w:r w:rsidR="00533C5A" w:rsidRPr="00533C5A">
          <w:rPr>
            <w:rFonts w:ascii="Times New Roman" w:hAnsi="Times New Roman"/>
            <w:noProof/>
            <w:webHidden/>
          </w:rPr>
          <w:tab/>
        </w:r>
        <w:r w:rsidR="00533C5A" w:rsidRPr="00533C5A">
          <w:rPr>
            <w:rFonts w:ascii="Times New Roman" w:hAnsi="Times New Roman"/>
            <w:noProof/>
            <w:webHidden/>
          </w:rPr>
          <w:fldChar w:fldCharType="begin"/>
        </w:r>
        <w:r w:rsidR="00533C5A" w:rsidRPr="00533C5A">
          <w:rPr>
            <w:rFonts w:ascii="Times New Roman" w:hAnsi="Times New Roman"/>
            <w:noProof/>
            <w:webHidden/>
          </w:rPr>
          <w:instrText xml:space="preserve"> PAGEREF _Toc512269704 \h </w:instrText>
        </w:r>
        <w:r w:rsidR="00533C5A" w:rsidRPr="00533C5A">
          <w:rPr>
            <w:rFonts w:ascii="Times New Roman" w:hAnsi="Times New Roman"/>
            <w:noProof/>
            <w:webHidden/>
          </w:rPr>
        </w:r>
        <w:r w:rsidR="00533C5A" w:rsidRPr="00533C5A">
          <w:rPr>
            <w:rFonts w:ascii="Times New Roman" w:hAnsi="Times New Roman"/>
            <w:noProof/>
            <w:webHidden/>
          </w:rPr>
          <w:fldChar w:fldCharType="separate"/>
        </w:r>
        <w:r w:rsidR="00DC5B53">
          <w:rPr>
            <w:rFonts w:ascii="Times New Roman" w:hAnsi="Times New Roman"/>
            <w:noProof/>
            <w:webHidden/>
          </w:rPr>
          <w:t>10</w:t>
        </w:r>
        <w:r w:rsidR="00533C5A" w:rsidRPr="00533C5A">
          <w:rPr>
            <w:rFonts w:ascii="Times New Roman" w:hAnsi="Times New Roman"/>
            <w:noProof/>
            <w:webHidden/>
          </w:rPr>
          <w:fldChar w:fldCharType="end"/>
        </w:r>
      </w:hyperlink>
    </w:p>
    <w:p w:rsidR="00533C5A" w:rsidRPr="00533C5A" w:rsidRDefault="00275992">
      <w:pPr>
        <w:pStyle w:val="TOC4"/>
        <w:tabs>
          <w:tab w:val="left" w:pos="1320"/>
          <w:tab w:val="right" w:pos="9350"/>
        </w:tabs>
        <w:rPr>
          <w:rFonts w:ascii="Times New Roman" w:hAnsi="Times New Roman"/>
          <w:noProof/>
          <w:lang w:val="en-CA" w:eastAsia="en-CA"/>
        </w:rPr>
      </w:pPr>
      <w:hyperlink w:anchor="_Toc512269705" w:history="1">
        <w:r w:rsidR="00533C5A" w:rsidRPr="00533C5A">
          <w:rPr>
            <w:rStyle w:val="Hyperlink"/>
            <w:rFonts w:ascii="Times New Roman" w:eastAsia="Times New Roman" w:hAnsi="Times New Roman"/>
            <w:noProof/>
          </w:rPr>
          <w:t>3.2</w:t>
        </w:r>
        <w:r w:rsidR="00533C5A" w:rsidRPr="00533C5A">
          <w:rPr>
            <w:rFonts w:ascii="Times New Roman" w:hAnsi="Times New Roman"/>
            <w:noProof/>
            <w:lang w:val="en-CA" w:eastAsia="en-CA"/>
          </w:rPr>
          <w:tab/>
        </w:r>
        <w:r w:rsidR="00533C5A" w:rsidRPr="00533C5A">
          <w:rPr>
            <w:rStyle w:val="Hyperlink"/>
            <w:rFonts w:ascii="Times New Roman" w:eastAsia="Times New Roman" w:hAnsi="Times New Roman"/>
            <w:noProof/>
          </w:rPr>
          <w:t>Governance structures and processes at the Regional, National, Subnational and local level as well as multi-level governance approaches. Governance is crucial when addressing the individual SDGs and their interlinkages.</w:t>
        </w:r>
        <w:r w:rsidR="00533C5A" w:rsidRPr="00533C5A">
          <w:rPr>
            <w:rFonts w:ascii="Times New Roman" w:hAnsi="Times New Roman"/>
            <w:noProof/>
            <w:webHidden/>
          </w:rPr>
          <w:tab/>
        </w:r>
        <w:r w:rsidR="00533C5A" w:rsidRPr="00533C5A">
          <w:rPr>
            <w:rFonts w:ascii="Times New Roman" w:hAnsi="Times New Roman"/>
            <w:noProof/>
            <w:webHidden/>
          </w:rPr>
          <w:fldChar w:fldCharType="begin"/>
        </w:r>
        <w:r w:rsidR="00533C5A" w:rsidRPr="00533C5A">
          <w:rPr>
            <w:rFonts w:ascii="Times New Roman" w:hAnsi="Times New Roman"/>
            <w:noProof/>
            <w:webHidden/>
          </w:rPr>
          <w:instrText xml:space="preserve"> PAGEREF _Toc512269705 \h </w:instrText>
        </w:r>
        <w:r w:rsidR="00533C5A" w:rsidRPr="00533C5A">
          <w:rPr>
            <w:rFonts w:ascii="Times New Roman" w:hAnsi="Times New Roman"/>
            <w:noProof/>
            <w:webHidden/>
          </w:rPr>
        </w:r>
        <w:r w:rsidR="00533C5A" w:rsidRPr="00533C5A">
          <w:rPr>
            <w:rFonts w:ascii="Times New Roman" w:hAnsi="Times New Roman"/>
            <w:noProof/>
            <w:webHidden/>
          </w:rPr>
          <w:fldChar w:fldCharType="separate"/>
        </w:r>
        <w:r w:rsidR="00DC5B53">
          <w:rPr>
            <w:rFonts w:ascii="Times New Roman" w:hAnsi="Times New Roman"/>
            <w:noProof/>
            <w:webHidden/>
          </w:rPr>
          <w:t>10</w:t>
        </w:r>
        <w:r w:rsidR="00533C5A" w:rsidRPr="00533C5A">
          <w:rPr>
            <w:rFonts w:ascii="Times New Roman" w:hAnsi="Times New Roman"/>
            <w:noProof/>
            <w:webHidden/>
          </w:rPr>
          <w:fldChar w:fldCharType="end"/>
        </w:r>
      </w:hyperlink>
    </w:p>
    <w:p w:rsidR="00533C5A" w:rsidRPr="00533C5A" w:rsidRDefault="00275992">
      <w:pPr>
        <w:pStyle w:val="TOC4"/>
        <w:tabs>
          <w:tab w:val="left" w:pos="1320"/>
          <w:tab w:val="right" w:pos="9350"/>
        </w:tabs>
        <w:rPr>
          <w:rFonts w:ascii="Times New Roman" w:hAnsi="Times New Roman"/>
          <w:noProof/>
          <w:lang w:val="en-CA" w:eastAsia="en-CA"/>
        </w:rPr>
      </w:pPr>
      <w:hyperlink w:anchor="_Toc512269706" w:history="1">
        <w:r w:rsidR="00533C5A" w:rsidRPr="00533C5A">
          <w:rPr>
            <w:rStyle w:val="Hyperlink"/>
            <w:rFonts w:ascii="Times New Roman" w:eastAsia="Times New Roman" w:hAnsi="Times New Roman"/>
            <w:noProof/>
          </w:rPr>
          <w:t>3.3</w:t>
        </w:r>
        <w:r w:rsidR="00533C5A" w:rsidRPr="00533C5A">
          <w:rPr>
            <w:rFonts w:ascii="Times New Roman" w:hAnsi="Times New Roman"/>
            <w:noProof/>
            <w:lang w:val="en-CA" w:eastAsia="en-CA"/>
          </w:rPr>
          <w:tab/>
        </w:r>
        <w:r w:rsidR="00533C5A" w:rsidRPr="00533C5A">
          <w:rPr>
            <w:rStyle w:val="Hyperlink"/>
            <w:rFonts w:ascii="Times New Roman" w:eastAsia="Times New Roman" w:hAnsi="Times New Roman"/>
            <w:noProof/>
          </w:rPr>
          <w:t>Science-policy interface</w:t>
        </w:r>
        <w:r w:rsidR="00533C5A" w:rsidRPr="00533C5A">
          <w:rPr>
            <w:rFonts w:ascii="Times New Roman" w:hAnsi="Times New Roman"/>
            <w:noProof/>
            <w:webHidden/>
          </w:rPr>
          <w:tab/>
        </w:r>
        <w:r w:rsidR="00533C5A" w:rsidRPr="00533C5A">
          <w:rPr>
            <w:rFonts w:ascii="Times New Roman" w:hAnsi="Times New Roman"/>
            <w:noProof/>
            <w:webHidden/>
          </w:rPr>
          <w:fldChar w:fldCharType="begin"/>
        </w:r>
        <w:r w:rsidR="00533C5A" w:rsidRPr="00533C5A">
          <w:rPr>
            <w:rFonts w:ascii="Times New Roman" w:hAnsi="Times New Roman"/>
            <w:noProof/>
            <w:webHidden/>
          </w:rPr>
          <w:instrText xml:space="preserve"> PAGEREF _Toc512269706 \h </w:instrText>
        </w:r>
        <w:r w:rsidR="00533C5A" w:rsidRPr="00533C5A">
          <w:rPr>
            <w:rFonts w:ascii="Times New Roman" w:hAnsi="Times New Roman"/>
            <w:noProof/>
            <w:webHidden/>
          </w:rPr>
        </w:r>
        <w:r w:rsidR="00533C5A" w:rsidRPr="00533C5A">
          <w:rPr>
            <w:rFonts w:ascii="Times New Roman" w:hAnsi="Times New Roman"/>
            <w:noProof/>
            <w:webHidden/>
          </w:rPr>
          <w:fldChar w:fldCharType="separate"/>
        </w:r>
        <w:r w:rsidR="00DC5B53">
          <w:rPr>
            <w:rFonts w:ascii="Times New Roman" w:hAnsi="Times New Roman"/>
            <w:noProof/>
            <w:webHidden/>
          </w:rPr>
          <w:t>11</w:t>
        </w:r>
        <w:r w:rsidR="00533C5A" w:rsidRPr="00533C5A">
          <w:rPr>
            <w:rFonts w:ascii="Times New Roman" w:hAnsi="Times New Roman"/>
            <w:noProof/>
            <w:webHidden/>
          </w:rPr>
          <w:fldChar w:fldCharType="end"/>
        </w:r>
      </w:hyperlink>
    </w:p>
    <w:p w:rsidR="00533C5A" w:rsidRPr="00533C5A" w:rsidRDefault="00275992">
      <w:pPr>
        <w:pStyle w:val="TOC4"/>
        <w:tabs>
          <w:tab w:val="left" w:pos="1320"/>
          <w:tab w:val="right" w:pos="9350"/>
        </w:tabs>
        <w:rPr>
          <w:rFonts w:ascii="Times New Roman" w:hAnsi="Times New Roman"/>
          <w:noProof/>
          <w:lang w:val="en-CA" w:eastAsia="en-CA"/>
        </w:rPr>
      </w:pPr>
      <w:hyperlink w:anchor="_Toc512269707" w:history="1">
        <w:r w:rsidR="00533C5A" w:rsidRPr="00533C5A">
          <w:rPr>
            <w:rStyle w:val="Hyperlink"/>
            <w:rFonts w:ascii="Times New Roman" w:eastAsia="Times New Roman" w:hAnsi="Times New Roman"/>
            <w:noProof/>
          </w:rPr>
          <w:t>3.4</w:t>
        </w:r>
        <w:r w:rsidR="00533C5A" w:rsidRPr="00533C5A">
          <w:rPr>
            <w:rFonts w:ascii="Times New Roman" w:hAnsi="Times New Roman"/>
            <w:noProof/>
            <w:lang w:val="en-CA" w:eastAsia="en-CA"/>
          </w:rPr>
          <w:tab/>
        </w:r>
        <w:r w:rsidR="00533C5A" w:rsidRPr="00533C5A">
          <w:rPr>
            <w:rStyle w:val="Hyperlink"/>
            <w:rFonts w:ascii="Times New Roman" w:eastAsia="Times New Roman" w:hAnsi="Times New Roman"/>
            <w:noProof/>
          </w:rPr>
          <w:t>Nexus Partnerships</w:t>
        </w:r>
        <w:r w:rsidR="00533C5A" w:rsidRPr="00533C5A">
          <w:rPr>
            <w:rFonts w:ascii="Times New Roman" w:hAnsi="Times New Roman"/>
            <w:noProof/>
            <w:webHidden/>
          </w:rPr>
          <w:tab/>
        </w:r>
        <w:r w:rsidR="00533C5A" w:rsidRPr="00533C5A">
          <w:rPr>
            <w:rFonts w:ascii="Times New Roman" w:hAnsi="Times New Roman"/>
            <w:noProof/>
            <w:webHidden/>
          </w:rPr>
          <w:fldChar w:fldCharType="begin"/>
        </w:r>
        <w:r w:rsidR="00533C5A" w:rsidRPr="00533C5A">
          <w:rPr>
            <w:rFonts w:ascii="Times New Roman" w:hAnsi="Times New Roman"/>
            <w:noProof/>
            <w:webHidden/>
          </w:rPr>
          <w:instrText xml:space="preserve"> PAGEREF _Toc512269707 \h </w:instrText>
        </w:r>
        <w:r w:rsidR="00533C5A" w:rsidRPr="00533C5A">
          <w:rPr>
            <w:rFonts w:ascii="Times New Roman" w:hAnsi="Times New Roman"/>
            <w:noProof/>
            <w:webHidden/>
          </w:rPr>
        </w:r>
        <w:r w:rsidR="00533C5A" w:rsidRPr="00533C5A">
          <w:rPr>
            <w:rFonts w:ascii="Times New Roman" w:hAnsi="Times New Roman"/>
            <w:noProof/>
            <w:webHidden/>
          </w:rPr>
          <w:fldChar w:fldCharType="separate"/>
        </w:r>
        <w:r w:rsidR="00DC5B53">
          <w:rPr>
            <w:rFonts w:ascii="Times New Roman" w:hAnsi="Times New Roman"/>
            <w:noProof/>
            <w:webHidden/>
          </w:rPr>
          <w:t>12</w:t>
        </w:r>
        <w:r w:rsidR="00533C5A" w:rsidRPr="00533C5A">
          <w:rPr>
            <w:rFonts w:ascii="Times New Roman" w:hAnsi="Times New Roman"/>
            <w:noProof/>
            <w:webHidden/>
          </w:rPr>
          <w:fldChar w:fldCharType="end"/>
        </w:r>
      </w:hyperlink>
    </w:p>
    <w:p w:rsidR="00533C5A" w:rsidRPr="00533C5A" w:rsidRDefault="00275992">
      <w:pPr>
        <w:pStyle w:val="TOC4"/>
        <w:tabs>
          <w:tab w:val="left" w:pos="1320"/>
          <w:tab w:val="right" w:pos="9350"/>
        </w:tabs>
        <w:rPr>
          <w:rFonts w:ascii="Times New Roman" w:hAnsi="Times New Roman"/>
          <w:noProof/>
          <w:lang w:val="en-CA" w:eastAsia="en-CA"/>
        </w:rPr>
      </w:pPr>
      <w:hyperlink w:anchor="_Toc512269708" w:history="1">
        <w:r w:rsidR="00533C5A" w:rsidRPr="00533C5A">
          <w:rPr>
            <w:rStyle w:val="Hyperlink"/>
            <w:rFonts w:ascii="Times New Roman" w:eastAsia="Times New Roman" w:hAnsi="Times New Roman"/>
            <w:noProof/>
          </w:rPr>
          <w:t>3.5</w:t>
        </w:r>
        <w:r w:rsidR="00533C5A" w:rsidRPr="00533C5A">
          <w:rPr>
            <w:rFonts w:ascii="Times New Roman" w:hAnsi="Times New Roman"/>
            <w:noProof/>
            <w:lang w:val="en-CA" w:eastAsia="en-CA"/>
          </w:rPr>
          <w:tab/>
        </w:r>
        <w:r w:rsidR="00533C5A" w:rsidRPr="00533C5A">
          <w:rPr>
            <w:rStyle w:val="Hyperlink"/>
            <w:rFonts w:ascii="Times New Roman" w:eastAsia="Times New Roman" w:hAnsi="Times New Roman"/>
            <w:noProof/>
          </w:rPr>
          <w:t>Technology transfer or sharing</w:t>
        </w:r>
        <w:r w:rsidR="00533C5A" w:rsidRPr="00533C5A">
          <w:rPr>
            <w:rFonts w:ascii="Times New Roman" w:hAnsi="Times New Roman"/>
            <w:noProof/>
            <w:webHidden/>
          </w:rPr>
          <w:tab/>
        </w:r>
        <w:r w:rsidR="00533C5A" w:rsidRPr="00533C5A">
          <w:rPr>
            <w:rFonts w:ascii="Times New Roman" w:hAnsi="Times New Roman"/>
            <w:noProof/>
            <w:webHidden/>
          </w:rPr>
          <w:fldChar w:fldCharType="begin"/>
        </w:r>
        <w:r w:rsidR="00533C5A" w:rsidRPr="00533C5A">
          <w:rPr>
            <w:rFonts w:ascii="Times New Roman" w:hAnsi="Times New Roman"/>
            <w:noProof/>
            <w:webHidden/>
          </w:rPr>
          <w:instrText xml:space="preserve"> PAGEREF _Toc512269708 \h </w:instrText>
        </w:r>
        <w:r w:rsidR="00533C5A" w:rsidRPr="00533C5A">
          <w:rPr>
            <w:rFonts w:ascii="Times New Roman" w:hAnsi="Times New Roman"/>
            <w:noProof/>
            <w:webHidden/>
          </w:rPr>
        </w:r>
        <w:r w:rsidR="00533C5A" w:rsidRPr="00533C5A">
          <w:rPr>
            <w:rFonts w:ascii="Times New Roman" w:hAnsi="Times New Roman"/>
            <w:noProof/>
            <w:webHidden/>
          </w:rPr>
          <w:fldChar w:fldCharType="separate"/>
        </w:r>
        <w:r w:rsidR="00DC5B53">
          <w:rPr>
            <w:rFonts w:ascii="Times New Roman" w:hAnsi="Times New Roman"/>
            <w:noProof/>
            <w:webHidden/>
          </w:rPr>
          <w:t>12</w:t>
        </w:r>
        <w:r w:rsidR="00533C5A" w:rsidRPr="00533C5A">
          <w:rPr>
            <w:rFonts w:ascii="Times New Roman" w:hAnsi="Times New Roman"/>
            <w:noProof/>
            <w:webHidden/>
          </w:rPr>
          <w:fldChar w:fldCharType="end"/>
        </w:r>
      </w:hyperlink>
    </w:p>
    <w:p w:rsidR="00533C5A" w:rsidRPr="00533C5A" w:rsidRDefault="00275992">
      <w:pPr>
        <w:pStyle w:val="TOC4"/>
        <w:tabs>
          <w:tab w:val="left" w:pos="1320"/>
          <w:tab w:val="right" w:pos="9350"/>
        </w:tabs>
        <w:rPr>
          <w:rFonts w:ascii="Times New Roman" w:hAnsi="Times New Roman"/>
          <w:noProof/>
          <w:lang w:val="en-CA" w:eastAsia="en-CA"/>
        </w:rPr>
      </w:pPr>
      <w:hyperlink w:anchor="_Toc512269709" w:history="1">
        <w:r w:rsidR="00533C5A" w:rsidRPr="00533C5A">
          <w:rPr>
            <w:rStyle w:val="Hyperlink"/>
            <w:rFonts w:ascii="Times New Roman" w:eastAsia="Times New Roman" w:hAnsi="Times New Roman"/>
            <w:noProof/>
          </w:rPr>
          <w:t>3.6</w:t>
        </w:r>
        <w:r w:rsidR="00533C5A" w:rsidRPr="00533C5A">
          <w:rPr>
            <w:rFonts w:ascii="Times New Roman" w:hAnsi="Times New Roman"/>
            <w:noProof/>
            <w:lang w:val="en-CA" w:eastAsia="en-CA"/>
          </w:rPr>
          <w:tab/>
        </w:r>
        <w:r w:rsidR="00533C5A" w:rsidRPr="00533C5A">
          <w:rPr>
            <w:rStyle w:val="Hyperlink"/>
            <w:rFonts w:ascii="Times New Roman" w:eastAsia="Times New Roman" w:hAnsi="Times New Roman"/>
            <w:noProof/>
          </w:rPr>
          <w:t>Capacity Building</w:t>
        </w:r>
        <w:r w:rsidR="00533C5A" w:rsidRPr="00533C5A">
          <w:rPr>
            <w:rFonts w:ascii="Times New Roman" w:hAnsi="Times New Roman"/>
            <w:noProof/>
            <w:webHidden/>
          </w:rPr>
          <w:tab/>
        </w:r>
        <w:r w:rsidR="00533C5A" w:rsidRPr="00533C5A">
          <w:rPr>
            <w:rFonts w:ascii="Times New Roman" w:hAnsi="Times New Roman"/>
            <w:noProof/>
            <w:webHidden/>
          </w:rPr>
          <w:fldChar w:fldCharType="begin"/>
        </w:r>
        <w:r w:rsidR="00533C5A" w:rsidRPr="00533C5A">
          <w:rPr>
            <w:rFonts w:ascii="Times New Roman" w:hAnsi="Times New Roman"/>
            <w:noProof/>
            <w:webHidden/>
          </w:rPr>
          <w:instrText xml:space="preserve"> PAGEREF _Toc512269709 \h </w:instrText>
        </w:r>
        <w:r w:rsidR="00533C5A" w:rsidRPr="00533C5A">
          <w:rPr>
            <w:rFonts w:ascii="Times New Roman" w:hAnsi="Times New Roman"/>
            <w:noProof/>
            <w:webHidden/>
          </w:rPr>
        </w:r>
        <w:r w:rsidR="00533C5A" w:rsidRPr="00533C5A">
          <w:rPr>
            <w:rFonts w:ascii="Times New Roman" w:hAnsi="Times New Roman"/>
            <w:noProof/>
            <w:webHidden/>
          </w:rPr>
          <w:fldChar w:fldCharType="separate"/>
        </w:r>
        <w:r w:rsidR="00DC5B53">
          <w:rPr>
            <w:rFonts w:ascii="Times New Roman" w:hAnsi="Times New Roman"/>
            <w:noProof/>
            <w:webHidden/>
          </w:rPr>
          <w:t>12</w:t>
        </w:r>
        <w:r w:rsidR="00533C5A" w:rsidRPr="00533C5A">
          <w:rPr>
            <w:rFonts w:ascii="Times New Roman" w:hAnsi="Times New Roman"/>
            <w:noProof/>
            <w:webHidden/>
          </w:rPr>
          <w:fldChar w:fldCharType="end"/>
        </w:r>
      </w:hyperlink>
    </w:p>
    <w:p w:rsidR="00533C5A" w:rsidRPr="00533C5A" w:rsidRDefault="00275992">
      <w:pPr>
        <w:pStyle w:val="TOC4"/>
        <w:tabs>
          <w:tab w:val="left" w:pos="1320"/>
          <w:tab w:val="right" w:pos="9350"/>
        </w:tabs>
        <w:rPr>
          <w:rFonts w:ascii="Times New Roman" w:hAnsi="Times New Roman"/>
          <w:noProof/>
          <w:lang w:val="en-CA" w:eastAsia="en-CA"/>
        </w:rPr>
      </w:pPr>
      <w:hyperlink w:anchor="_Toc512269710" w:history="1">
        <w:r w:rsidR="00533C5A" w:rsidRPr="00533C5A">
          <w:rPr>
            <w:rStyle w:val="Hyperlink"/>
            <w:rFonts w:ascii="Times New Roman" w:eastAsia="Times New Roman" w:hAnsi="Times New Roman"/>
            <w:noProof/>
          </w:rPr>
          <w:t>3.7</w:t>
        </w:r>
        <w:r w:rsidR="00533C5A" w:rsidRPr="00533C5A">
          <w:rPr>
            <w:rFonts w:ascii="Times New Roman" w:hAnsi="Times New Roman"/>
            <w:noProof/>
            <w:lang w:val="en-CA" w:eastAsia="en-CA"/>
          </w:rPr>
          <w:tab/>
        </w:r>
        <w:r w:rsidR="00533C5A" w:rsidRPr="00533C5A">
          <w:rPr>
            <w:rStyle w:val="Hyperlink"/>
            <w:rFonts w:ascii="Times New Roman" w:eastAsia="Times New Roman" w:hAnsi="Times New Roman"/>
            <w:noProof/>
          </w:rPr>
          <w:t>Financing the Nexus</w:t>
        </w:r>
        <w:r w:rsidR="00533C5A" w:rsidRPr="00533C5A">
          <w:rPr>
            <w:rFonts w:ascii="Times New Roman" w:hAnsi="Times New Roman"/>
            <w:noProof/>
            <w:webHidden/>
          </w:rPr>
          <w:tab/>
        </w:r>
        <w:r w:rsidR="00533C5A" w:rsidRPr="00533C5A">
          <w:rPr>
            <w:rFonts w:ascii="Times New Roman" w:hAnsi="Times New Roman"/>
            <w:noProof/>
            <w:webHidden/>
          </w:rPr>
          <w:fldChar w:fldCharType="begin"/>
        </w:r>
        <w:r w:rsidR="00533C5A" w:rsidRPr="00533C5A">
          <w:rPr>
            <w:rFonts w:ascii="Times New Roman" w:hAnsi="Times New Roman"/>
            <w:noProof/>
            <w:webHidden/>
          </w:rPr>
          <w:instrText xml:space="preserve"> PAGEREF _Toc512269710 \h </w:instrText>
        </w:r>
        <w:r w:rsidR="00533C5A" w:rsidRPr="00533C5A">
          <w:rPr>
            <w:rFonts w:ascii="Times New Roman" w:hAnsi="Times New Roman"/>
            <w:noProof/>
            <w:webHidden/>
          </w:rPr>
        </w:r>
        <w:r w:rsidR="00533C5A" w:rsidRPr="00533C5A">
          <w:rPr>
            <w:rFonts w:ascii="Times New Roman" w:hAnsi="Times New Roman"/>
            <w:noProof/>
            <w:webHidden/>
          </w:rPr>
          <w:fldChar w:fldCharType="separate"/>
        </w:r>
        <w:r w:rsidR="00DC5B53">
          <w:rPr>
            <w:rFonts w:ascii="Times New Roman" w:hAnsi="Times New Roman"/>
            <w:noProof/>
            <w:webHidden/>
          </w:rPr>
          <w:t>13</w:t>
        </w:r>
        <w:r w:rsidR="00533C5A" w:rsidRPr="00533C5A">
          <w:rPr>
            <w:rFonts w:ascii="Times New Roman" w:hAnsi="Times New Roman"/>
            <w:noProof/>
            <w:webHidden/>
          </w:rPr>
          <w:fldChar w:fldCharType="end"/>
        </w:r>
      </w:hyperlink>
    </w:p>
    <w:p w:rsidR="00533C5A" w:rsidRPr="00533C5A" w:rsidRDefault="00275992">
      <w:pPr>
        <w:pStyle w:val="TOC4"/>
        <w:tabs>
          <w:tab w:val="left" w:pos="1320"/>
          <w:tab w:val="right" w:pos="9350"/>
        </w:tabs>
        <w:rPr>
          <w:rFonts w:ascii="Times New Roman" w:hAnsi="Times New Roman"/>
          <w:noProof/>
          <w:lang w:val="en-CA" w:eastAsia="en-CA"/>
        </w:rPr>
      </w:pPr>
      <w:hyperlink w:anchor="_Toc512269711" w:history="1">
        <w:r w:rsidR="00533C5A" w:rsidRPr="00533C5A">
          <w:rPr>
            <w:rStyle w:val="Hyperlink"/>
            <w:rFonts w:ascii="Times New Roman" w:eastAsia="Times New Roman" w:hAnsi="Times New Roman"/>
            <w:noProof/>
          </w:rPr>
          <w:t>3.8</w:t>
        </w:r>
        <w:r w:rsidR="00533C5A" w:rsidRPr="00533C5A">
          <w:rPr>
            <w:rFonts w:ascii="Times New Roman" w:hAnsi="Times New Roman"/>
            <w:noProof/>
            <w:lang w:val="en-CA" w:eastAsia="en-CA"/>
          </w:rPr>
          <w:tab/>
        </w:r>
        <w:r w:rsidR="00533C5A" w:rsidRPr="00533C5A">
          <w:rPr>
            <w:rStyle w:val="Hyperlink"/>
            <w:rFonts w:ascii="Times New Roman" w:eastAsia="Times New Roman" w:hAnsi="Times New Roman"/>
            <w:noProof/>
          </w:rPr>
          <w:t>Identifying Nexus indicators that might be useful at the national or sub-national level</w:t>
        </w:r>
        <w:r w:rsidR="00533C5A" w:rsidRPr="00533C5A">
          <w:rPr>
            <w:rFonts w:ascii="Times New Roman" w:hAnsi="Times New Roman"/>
            <w:noProof/>
            <w:webHidden/>
          </w:rPr>
          <w:tab/>
        </w:r>
        <w:r w:rsidR="00533C5A" w:rsidRPr="00533C5A">
          <w:rPr>
            <w:rFonts w:ascii="Times New Roman" w:hAnsi="Times New Roman"/>
            <w:noProof/>
            <w:webHidden/>
          </w:rPr>
          <w:fldChar w:fldCharType="begin"/>
        </w:r>
        <w:r w:rsidR="00533C5A" w:rsidRPr="00533C5A">
          <w:rPr>
            <w:rFonts w:ascii="Times New Roman" w:hAnsi="Times New Roman"/>
            <w:noProof/>
            <w:webHidden/>
          </w:rPr>
          <w:instrText xml:space="preserve"> PAGEREF _Toc512269711 \h </w:instrText>
        </w:r>
        <w:r w:rsidR="00533C5A" w:rsidRPr="00533C5A">
          <w:rPr>
            <w:rFonts w:ascii="Times New Roman" w:hAnsi="Times New Roman"/>
            <w:noProof/>
            <w:webHidden/>
          </w:rPr>
        </w:r>
        <w:r w:rsidR="00533C5A" w:rsidRPr="00533C5A">
          <w:rPr>
            <w:rFonts w:ascii="Times New Roman" w:hAnsi="Times New Roman"/>
            <w:noProof/>
            <w:webHidden/>
          </w:rPr>
          <w:fldChar w:fldCharType="separate"/>
        </w:r>
        <w:r w:rsidR="00DC5B53">
          <w:rPr>
            <w:rFonts w:ascii="Times New Roman" w:hAnsi="Times New Roman"/>
            <w:noProof/>
            <w:webHidden/>
          </w:rPr>
          <w:t>13</w:t>
        </w:r>
        <w:r w:rsidR="00533C5A" w:rsidRPr="00533C5A">
          <w:rPr>
            <w:rFonts w:ascii="Times New Roman" w:hAnsi="Times New Roman"/>
            <w:noProof/>
            <w:webHidden/>
          </w:rPr>
          <w:fldChar w:fldCharType="end"/>
        </w:r>
      </w:hyperlink>
    </w:p>
    <w:p w:rsidR="00533C5A" w:rsidRPr="00533C5A" w:rsidRDefault="00275992">
      <w:pPr>
        <w:pStyle w:val="TOC4"/>
        <w:tabs>
          <w:tab w:val="left" w:pos="1320"/>
          <w:tab w:val="right" w:pos="9350"/>
        </w:tabs>
        <w:rPr>
          <w:rFonts w:ascii="Times New Roman" w:hAnsi="Times New Roman"/>
          <w:noProof/>
          <w:lang w:val="en-CA" w:eastAsia="en-CA"/>
        </w:rPr>
      </w:pPr>
      <w:hyperlink w:anchor="_Toc512269712" w:history="1">
        <w:r w:rsidR="00533C5A" w:rsidRPr="00533C5A">
          <w:rPr>
            <w:rStyle w:val="Hyperlink"/>
            <w:rFonts w:ascii="Times New Roman" w:hAnsi="Times New Roman"/>
            <w:noProof/>
          </w:rPr>
          <w:t>3.9</w:t>
        </w:r>
        <w:r w:rsidR="00533C5A" w:rsidRPr="00533C5A">
          <w:rPr>
            <w:rFonts w:ascii="Times New Roman" w:hAnsi="Times New Roman"/>
            <w:noProof/>
            <w:lang w:val="en-CA" w:eastAsia="en-CA"/>
          </w:rPr>
          <w:tab/>
        </w:r>
        <w:r w:rsidR="00533C5A" w:rsidRPr="00533C5A">
          <w:rPr>
            <w:rStyle w:val="Hyperlink"/>
            <w:rFonts w:ascii="Times New Roman" w:hAnsi="Times New Roman"/>
            <w:noProof/>
          </w:rPr>
          <w:t>Compiling nexus tools (will be filled out as we collect them)</w:t>
        </w:r>
        <w:r w:rsidR="00533C5A" w:rsidRPr="00533C5A">
          <w:rPr>
            <w:rFonts w:ascii="Times New Roman" w:hAnsi="Times New Roman"/>
            <w:noProof/>
            <w:webHidden/>
          </w:rPr>
          <w:tab/>
        </w:r>
        <w:r w:rsidR="00533C5A" w:rsidRPr="00533C5A">
          <w:rPr>
            <w:rFonts w:ascii="Times New Roman" w:hAnsi="Times New Roman"/>
            <w:noProof/>
            <w:webHidden/>
          </w:rPr>
          <w:fldChar w:fldCharType="begin"/>
        </w:r>
        <w:r w:rsidR="00533C5A" w:rsidRPr="00533C5A">
          <w:rPr>
            <w:rFonts w:ascii="Times New Roman" w:hAnsi="Times New Roman"/>
            <w:noProof/>
            <w:webHidden/>
          </w:rPr>
          <w:instrText xml:space="preserve"> PAGEREF _Toc512269712 \h </w:instrText>
        </w:r>
        <w:r w:rsidR="00533C5A" w:rsidRPr="00533C5A">
          <w:rPr>
            <w:rFonts w:ascii="Times New Roman" w:hAnsi="Times New Roman"/>
            <w:noProof/>
            <w:webHidden/>
          </w:rPr>
        </w:r>
        <w:r w:rsidR="00533C5A" w:rsidRPr="00533C5A">
          <w:rPr>
            <w:rFonts w:ascii="Times New Roman" w:hAnsi="Times New Roman"/>
            <w:noProof/>
            <w:webHidden/>
          </w:rPr>
          <w:fldChar w:fldCharType="separate"/>
        </w:r>
        <w:r w:rsidR="00DC5B53">
          <w:rPr>
            <w:rFonts w:ascii="Times New Roman" w:hAnsi="Times New Roman"/>
            <w:noProof/>
            <w:webHidden/>
          </w:rPr>
          <w:t>14</w:t>
        </w:r>
        <w:r w:rsidR="00533C5A" w:rsidRPr="00533C5A">
          <w:rPr>
            <w:rFonts w:ascii="Times New Roman" w:hAnsi="Times New Roman"/>
            <w:noProof/>
            <w:webHidden/>
          </w:rPr>
          <w:fldChar w:fldCharType="end"/>
        </w:r>
      </w:hyperlink>
    </w:p>
    <w:p w:rsidR="00533C5A" w:rsidRPr="00533C5A" w:rsidRDefault="00275992">
      <w:pPr>
        <w:pStyle w:val="TOC4"/>
        <w:tabs>
          <w:tab w:val="left" w:pos="1320"/>
          <w:tab w:val="right" w:pos="9350"/>
        </w:tabs>
        <w:rPr>
          <w:rFonts w:ascii="Times New Roman" w:hAnsi="Times New Roman"/>
          <w:noProof/>
          <w:lang w:val="en-CA" w:eastAsia="en-CA"/>
        </w:rPr>
      </w:pPr>
      <w:hyperlink w:anchor="_Toc512269713" w:history="1">
        <w:r w:rsidR="00533C5A" w:rsidRPr="00533C5A">
          <w:rPr>
            <w:rStyle w:val="Hyperlink"/>
            <w:rFonts w:ascii="Times New Roman" w:eastAsia="Times New Roman" w:hAnsi="Times New Roman"/>
            <w:noProof/>
          </w:rPr>
          <w:t>3.10</w:t>
        </w:r>
        <w:r w:rsidR="00533C5A" w:rsidRPr="00533C5A">
          <w:rPr>
            <w:rFonts w:ascii="Times New Roman" w:hAnsi="Times New Roman"/>
            <w:noProof/>
            <w:lang w:val="en-CA" w:eastAsia="en-CA"/>
          </w:rPr>
          <w:tab/>
        </w:r>
        <w:r w:rsidR="00533C5A" w:rsidRPr="00533C5A">
          <w:rPr>
            <w:rStyle w:val="Hyperlink"/>
            <w:rFonts w:ascii="Times New Roman" w:eastAsia="Times New Roman" w:hAnsi="Times New Roman"/>
            <w:noProof/>
          </w:rPr>
          <w:t>Education and public awareness for sustainable development</w:t>
        </w:r>
        <w:r w:rsidR="00533C5A" w:rsidRPr="00533C5A">
          <w:rPr>
            <w:rFonts w:ascii="Times New Roman" w:hAnsi="Times New Roman"/>
            <w:noProof/>
            <w:webHidden/>
          </w:rPr>
          <w:tab/>
        </w:r>
        <w:r w:rsidR="00533C5A" w:rsidRPr="00533C5A">
          <w:rPr>
            <w:rFonts w:ascii="Times New Roman" w:hAnsi="Times New Roman"/>
            <w:noProof/>
            <w:webHidden/>
          </w:rPr>
          <w:fldChar w:fldCharType="begin"/>
        </w:r>
        <w:r w:rsidR="00533C5A" w:rsidRPr="00533C5A">
          <w:rPr>
            <w:rFonts w:ascii="Times New Roman" w:hAnsi="Times New Roman"/>
            <w:noProof/>
            <w:webHidden/>
          </w:rPr>
          <w:instrText xml:space="preserve"> PAGEREF _Toc512269713 \h </w:instrText>
        </w:r>
        <w:r w:rsidR="00533C5A" w:rsidRPr="00533C5A">
          <w:rPr>
            <w:rFonts w:ascii="Times New Roman" w:hAnsi="Times New Roman"/>
            <w:noProof/>
            <w:webHidden/>
          </w:rPr>
        </w:r>
        <w:r w:rsidR="00533C5A" w:rsidRPr="00533C5A">
          <w:rPr>
            <w:rFonts w:ascii="Times New Roman" w:hAnsi="Times New Roman"/>
            <w:noProof/>
            <w:webHidden/>
          </w:rPr>
          <w:fldChar w:fldCharType="separate"/>
        </w:r>
        <w:r w:rsidR="00DC5B53">
          <w:rPr>
            <w:rFonts w:ascii="Times New Roman" w:hAnsi="Times New Roman"/>
            <w:noProof/>
            <w:webHidden/>
          </w:rPr>
          <w:t>14</w:t>
        </w:r>
        <w:r w:rsidR="00533C5A" w:rsidRPr="00533C5A">
          <w:rPr>
            <w:rFonts w:ascii="Times New Roman" w:hAnsi="Times New Roman"/>
            <w:noProof/>
            <w:webHidden/>
          </w:rPr>
          <w:fldChar w:fldCharType="end"/>
        </w:r>
      </w:hyperlink>
    </w:p>
    <w:p w:rsidR="00533C5A" w:rsidRPr="00533C5A" w:rsidRDefault="00275992">
      <w:pPr>
        <w:pStyle w:val="TOC4"/>
        <w:tabs>
          <w:tab w:val="left" w:pos="1320"/>
          <w:tab w:val="right" w:pos="9350"/>
        </w:tabs>
        <w:rPr>
          <w:rFonts w:ascii="Times New Roman" w:hAnsi="Times New Roman"/>
          <w:noProof/>
          <w:lang w:val="en-CA" w:eastAsia="en-CA"/>
        </w:rPr>
      </w:pPr>
      <w:hyperlink w:anchor="_Toc512269714" w:history="1">
        <w:r w:rsidR="00533C5A" w:rsidRPr="00533C5A">
          <w:rPr>
            <w:rStyle w:val="Hyperlink"/>
            <w:rFonts w:ascii="Times New Roman" w:eastAsia="Times New Roman" w:hAnsi="Times New Roman"/>
            <w:noProof/>
          </w:rPr>
          <w:t>3.11</w:t>
        </w:r>
        <w:r w:rsidR="00533C5A" w:rsidRPr="00533C5A">
          <w:rPr>
            <w:rFonts w:ascii="Times New Roman" w:hAnsi="Times New Roman"/>
            <w:noProof/>
            <w:lang w:val="en-CA" w:eastAsia="en-CA"/>
          </w:rPr>
          <w:tab/>
        </w:r>
        <w:r w:rsidR="00533C5A" w:rsidRPr="00533C5A">
          <w:rPr>
            <w:rStyle w:val="Hyperlink"/>
            <w:rFonts w:ascii="Times New Roman" w:eastAsia="Times New Roman" w:hAnsi="Times New Roman"/>
            <w:noProof/>
          </w:rPr>
          <w:t>Information for implementation and decision making</w:t>
        </w:r>
        <w:r w:rsidR="00533C5A" w:rsidRPr="00533C5A">
          <w:rPr>
            <w:rFonts w:ascii="Times New Roman" w:hAnsi="Times New Roman"/>
            <w:noProof/>
            <w:webHidden/>
          </w:rPr>
          <w:tab/>
        </w:r>
        <w:r w:rsidR="00533C5A" w:rsidRPr="00533C5A">
          <w:rPr>
            <w:rFonts w:ascii="Times New Roman" w:hAnsi="Times New Roman"/>
            <w:noProof/>
            <w:webHidden/>
          </w:rPr>
          <w:fldChar w:fldCharType="begin"/>
        </w:r>
        <w:r w:rsidR="00533C5A" w:rsidRPr="00533C5A">
          <w:rPr>
            <w:rFonts w:ascii="Times New Roman" w:hAnsi="Times New Roman"/>
            <w:noProof/>
            <w:webHidden/>
          </w:rPr>
          <w:instrText xml:space="preserve"> PAGEREF _Toc512269714 \h </w:instrText>
        </w:r>
        <w:r w:rsidR="00533C5A" w:rsidRPr="00533C5A">
          <w:rPr>
            <w:rFonts w:ascii="Times New Roman" w:hAnsi="Times New Roman"/>
            <w:noProof/>
            <w:webHidden/>
          </w:rPr>
        </w:r>
        <w:r w:rsidR="00533C5A" w:rsidRPr="00533C5A">
          <w:rPr>
            <w:rFonts w:ascii="Times New Roman" w:hAnsi="Times New Roman"/>
            <w:noProof/>
            <w:webHidden/>
          </w:rPr>
          <w:fldChar w:fldCharType="separate"/>
        </w:r>
        <w:r w:rsidR="00DC5B53">
          <w:rPr>
            <w:rFonts w:ascii="Times New Roman" w:hAnsi="Times New Roman"/>
            <w:noProof/>
            <w:webHidden/>
          </w:rPr>
          <w:t>15</w:t>
        </w:r>
        <w:r w:rsidR="00533C5A" w:rsidRPr="00533C5A">
          <w:rPr>
            <w:rFonts w:ascii="Times New Roman" w:hAnsi="Times New Roman"/>
            <w:noProof/>
            <w:webHidden/>
          </w:rPr>
          <w:fldChar w:fldCharType="end"/>
        </w:r>
      </w:hyperlink>
    </w:p>
    <w:p w:rsidR="00533C5A" w:rsidRPr="00533C5A" w:rsidRDefault="00275992">
      <w:pPr>
        <w:pStyle w:val="TOC3"/>
        <w:tabs>
          <w:tab w:val="left" w:pos="880"/>
          <w:tab w:val="right" w:pos="9350"/>
        </w:tabs>
        <w:rPr>
          <w:rFonts w:ascii="Times New Roman" w:hAnsi="Times New Roman"/>
          <w:noProof/>
          <w:lang w:val="en-CA" w:eastAsia="en-CA"/>
        </w:rPr>
      </w:pPr>
      <w:hyperlink w:anchor="_Toc512269715" w:history="1">
        <w:r w:rsidR="00533C5A" w:rsidRPr="00533C5A">
          <w:rPr>
            <w:rStyle w:val="Hyperlink"/>
            <w:rFonts w:ascii="Times New Roman" w:hAnsi="Times New Roman"/>
            <w:noProof/>
          </w:rPr>
          <w:t>4.</w:t>
        </w:r>
        <w:r w:rsidR="00533C5A" w:rsidRPr="00533C5A">
          <w:rPr>
            <w:rFonts w:ascii="Times New Roman" w:hAnsi="Times New Roman"/>
            <w:noProof/>
            <w:lang w:val="en-CA" w:eastAsia="en-CA"/>
          </w:rPr>
          <w:tab/>
        </w:r>
        <w:r w:rsidR="00533C5A" w:rsidRPr="00533C5A">
          <w:rPr>
            <w:rStyle w:val="Hyperlink"/>
            <w:rFonts w:ascii="Times New Roman" w:hAnsi="Times New Roman"/>
            <w:noProof/>
          </w:rPr>
          <w:t>CONCLUSION: INTEGRATED IMPLEMENTATION OF THE SUSTAINABLE DEVELOPMENT GOALS (to be filled in at the conference)</w:t>
        </w:r>
        <w:r w:rsidR="00533C5A" w:rsidRPr="00533C5A">
          <w:rPr>
            <w:rFonts w:ascii="Times New Roman" w:hAnsi="Times New Roman"/>
            <w:noProof/>
            <w:webHidden/>
          </w:rPr>
          <w:tab/>
        </w:r>
        <w:r w:rsidR="00533C5A" w:rsidRPr="00533C5A">
          <w:rPr>
            <w:rFonts w:ascii="Times New Roman" w:hAnsi="Times New Roman"/>
            <w:noProof/>
            <w:webHidden/>
          </w:rPr>
          <w:fldChar w:fldCharType="begin"/>
        </w:r>
        <w:r w:rsidR="00533C5A" w:rsidRPr="00533C5A">
          <w:rPr>
            <w:rFonts w:ascii="Times New Roman" w:hAnsi="Times New Roman"/>
            <w:noProof/>
            <w:webHidden/>
          </w:rPr>
          <w:instrText xml:space="preserve"> PAGEREF _Toc512269715 \h </w:instrText>
        </w:r>
        <w:r w:rsidR="00533C5A" w:rsidRPr="00533C5A">
          <w:rPr>
            <w:rFonts w:ascii="Times New Roman" w:hAnsi="Times New Roman"/>
            <w:noProof/>
            <w:webHidden/>
          </w:rPr>
        </w:r>
        <w:r w:rsidR="00533C5A" w:rsidRPr="00533C5A">
          <w:rPr>
            <w:rFonts w:ascii="Times New Roman" w:hAnsi="Times New Roman"/>
            <w:noProof/>
            <w:webHidden/>
          </w:rPr>
          <w:fldChar w:fldCharType="separate"/>
        </w:r>
        <w:r w:rsidR="00DC5B53">
          <w:rPr>
            <w:rFonts w:ascii="Times New Roman" w:hAnsi="Times New Roman"/>
            <w:noProof/>
            <w:webHidden/>
          </w:rPr>
          <w:t>15</w:t>
        </w:r>
        <w:r w:rsidR="00533C5A" w:rsidRPr="00533C5A">
          <w:rPr>
            <w:rFonts w:ascii="Times New Roman" w:hAnsi="Times New Roman"/>
            <w:noProof/>
            <w:webHidden/>
          </w:rPr>
          <w:fldChar w:fldCharType="end"/>
        </w:r>
      </w:hyperlink>
    </w:p>
    <w:p w:rsidR="00533C5A" w:rsidRPr="00533C5A" w:rsidRDefault="00275992">
      <w:pPr>
        <w:pStyle w:val="TOC1"/>
        <w:tabs>
          <w:tab w:val="right" w:pos="9350"/>
        </w:tabs>
        <w:rPr>
          <w:rFonts w:ascii="Times New Roman" w:hAnsi="Times New Roman"/>
          <w:noProof/>
          <w:lang w:val="en-CA" w:eastAsia="en-CA"/>
        </w:rPr>
      </w:pPr>
      <w:hyperlink w:anchor="_Toc512269716" w:history="1">
        <w:r w:rsidR="00533C5A" w:rsidRPr="00533C5A">
          <w:rPr>
            <w:rStyle w:val="Hyperlink"/>
            <w:rFonts w:ascii="Times New Roman" w:hAnsi="Times New Roman"/>
            <w:noProof/>
          </w:rPr>
          <w:t>Appendix 1: Nexus Tools</w:t>
        </w:r>
        <w:r w:rsidR="00533C5A" w:rsidRPr="00533C5A">
          <w:rPr>
            <w:rFonts w:ascii="Times New Roman" w:hAnsi="Times New Roman"/>
            <w:noProof/>
            <w:webHidden/>
          </w:rPr>
          <w:tab/>
        </w:r>
        <w:r w:rsidR="00533C5A" w:rsidRPr="00533C5A">
          <w:rPr>
            <w:rFonts w:ascii="Times New Roman" w:hAnsi="Times New Roman"/>
            <w:noProof/>
            <w:webHidden/>
          </w:rPr>
          <w:fldChar w:fldCharType="begin"/>
        </w:r>
        <w:r w:rsidR="00533C5A" w:rsidRPr="00533C5A">
          <w:rPr>
            <w:rFonts w:ascii="Times New Roman" w:hAnsi="Times New Roman"/>
            <w:noProof/>
            <w:webHidden/>
          </w:rPr>
          <w:instrText xml:space="preserve"> PAGEREF _Toc512269716 \h </w:instrText>
        </w:r>
        <w:r w:rsidR="00533C5A" w:rsidRPr="00533C5A">
          <w:rPr>
            <w:rFonts w:ascii="Times New Roman" w:hAnsi="Times New Roman"/>
            <w:noProof/>
            <w:webHidden/>
          </w:rPr>
        </w:r>
        <w:r w:rsidR="00533C5A" w:rsidRPr="00533C5A">
          <w:rPr>
            <w:rFonts w:ascii="Times New Roman" w:hAnsi="Times New Roman"/>
            <w:noProof/>
            <w:webHidden/>
          </w:rPr>
          <w:fldChar w:fldCharType="separate"/>
        </w:r>
        <w:r w:rsidR="00DC5B53">
          <w:rPr>
            <w:rFonts w:ascii="Times New Roman" w:hAnsi="Times New Roman"/>
            <w:noProof/>
            <w:webHidden/>
          </w:rPr>
          <w:t>18</w:t>
        </w:r>
        <w:r w:rsidR="00533C5A" w:rsidRPr="00533C5A">
          <w:rPr>
            <w:rFonts w:ascii="Times New Roman" w:hAnsi="Times New Roman"/>
            <w:noProof/>
            <w:webHidden/>
          </w:rPr>
          <w:fldChar w:fldCharType="end"/>
        </w:r>
      </w:hyperlink>
    </w:p>
    <w:p w:rsidR="007351B7" w:rsidRPr="00923DD7" w:rsidRDefault="00F21A8B" w:rsidP="00923DD7">
      <w:pPr>
        <w:spacing w:after="480" w:line="240" w:lineRule="auto"/>
        <w:ind w:left="284"/>
        <w:jc w:val="center"/>
        <w:rPr>
          <w:rFonts w:ascii="Times New Roman" w:hAnsi="Times New Roman"/>
          <w:b/>
        </w:rPr>
      </w:pPr>
      <w:r w:rsidRPr="00533C5A">
        <w:rPr>
          <w:rFonts w:ascii="Times New Roman" w:hAnsi="Times New Roman"/>
          <w:b/>
        </w:rPr>
        <w:fldChar w:fldCharType="end"/>
      </w:r>
    </w:p>
    <w:p w:rsidR="00DE60BE" w:rsidRPr="00923DD7" w:rsidRDefault="00A02432" w:rsidP="00923DD7">
      <w:pPr>
        <w:pStyle w:val="Heading1"/>
        <w:spacing w:after="120" w:line="240" w:lineRule="auto"/>
        <w:rPr>
          <w:rFonts w:ascii="Times New Roman" w:hAnsi="Times New Roman" w:cs="Times New Roman"/>
          <w:b/>
          <w:sz w:val="22"/>
          <w:szCs w:val="22"/>
        </w:rPr>
      </w:pPr>
      <w:bookmarkStart w:id="8" w:name="_Toc508749286"/>
      <w:bookmarkStart w:id="9" w:name="_Toc508749802"/>
      <w:bookmarkStart w:id="10" w:name="_Toc508750183"/>
      <w:bookmarkStart w:id="11" w:name="_Toc508750703"/>
      <w:bookmarkStart w:id="12" w:name="_Toc512266014"/>
      <w:bookmarkStart w:id="13" w:name="_Toc512269693"/>
      <w:r w:rsidRPr="00923DD7">
        <w:rPr>
          <w:rFonts w:ascii="Times New Roman" w:hAnsi="Times New Roman" w:cs="Times New Roman"/>
          <w:b/>
          <w:sz w:val="22"/>
          <w:szCs w:val="22"/>
        </w:rPr>
        <w:lastRenderedPageBreak/>
        <w:t>Fostering Holistic Approaches into implementing the Sustainable Development Goals</w:t>
      </w:r>
      <w:bookmarkEnd w:id="8"/>
      <w:bookmarkEnd w:id="9"/>
      <w:bookmarkEnd w:id="10"/>
      <w:bookmarkEnd w:id="11"/>
      <w:bookmarkEnd w:id="12"/>
      <w:bookmarkEnd w:id="13"/>
    </w:p>
    <w:p w:rsidR="007351B7" w:rsidRPr="00923DD7" w:rsidRDefault="00A02432" w:rsidP="00923DD7">
      <w:pPr>
        <w:pStyle w:val="Heading2"/>
        <w:spacing w:after="120" w:line="240" w:lineRule="auto"/>
        <w:jc w:val="center"/>
        <w:rPr>
          <w:rFonts w:ascii="Times New Roman" w:hAnsi="Times New Roman" w:cs="Times New Roman"/>
          <w:sz w:val="22"/>
          <w:szCs w:val="22"/>
        </w:rPr>
      </w:pPr>
      <w:bookmarkStart w:id="14" w:name="_Toc508749287"/>
      <w:bookmarkStart w:id="15" w:name="_Toc508749803"/>
      <w:bookmarkStart w:id="16" w:name="_Toc508750184"/>
      <w:bookmarkStart w:id="17" w:name="_Toc508750704"/>
      <w:bookmarkStart w:id="18" w:name="_Toc512266015"/>
      <w:bookmarkStart w:id="19" w:name="_Toc512269694"/>
      <w:r w:rsidRPr="00923DD7">
        <w:rPr>
          <w:rFonts w:ascii="Times New Roman" w:hAnsi="Times New Roman" w:cs="Times New Roman"/>
          <w:sz w:val="22"/>
          <w:szCs w:val="22"/>
        </w:rPr>
        <w:t>A Nexus Message from the Co-directors of the Nexus 2018: Water, Food, Climate and Energy through an Urban Lens Conference</w:t>
      </w:r>
      <w:bookmarkEnd w:id="14"/>
      <w:bookmarkEnd w:id="15"/>
      <w:bookmarkEnd w:id="16"/>
      <w:bookmarkEnd w:id="17"/>
      <w:bookmarkEnd w:id="18"/>
      <w:bookmarkEnd w:id="19"/>
    </w:p>
    <w:p w:rsidR="00DE60BE" w:rsidRPr="00923DD7" w:rsidRDefault="00A02432" w:rsidP="00923DD7">
      <w:pPr>
        <w:pStyle w:val="Heading2"/>
        <w:spacing w:after="480" w:line="240" w:lineRule="auto"/>
        <w:jc w:val="center"/>
        <w:rPr>
          <w:rFonts w:ascii="Times New Roman" w:hAnsi="Times New Roman" w:cs="Times New Roman"/>
          <w:sz w:val="22"/>
          <w:szCs w:val="22"/>
        </w:rPr>
      </w:pPr>
      <w:bookmarkStart w:id="20" w:name="_Toc508749288"/>
      <w:bookmarkStart w:id="21" w:name="_Toc508749804"/>
      <w:bookmarkStart w:id="22" w:name="_Toc508750185"/>
      <w:bookmarkStart w:id="23" w:name="_Toc508750705"/>
      <w:bookmarkStart w:id="24" w:name="_Toc512266016"/>
      <w:bookmarkStart w:id="25" w:name="_Toc512269695"/>
      <w:r w:rsidRPr="00923DD7">
        <w:rPr>
          <w:rFonts w:ascii="Times New Roman" w:hAnsi="Times New Roman" w:cs="Times New Roman"/>
          <w:sz w:val="22"/>
          <w:szCs w:val="22"/>
        </w:rPr>
        <w:t>at the University of North Carolina at Chapel Hill, April 16-18, 2018</w:t>
      </w:r>
      <w:bookmarkEnd w:id="20"/>
      <w:bookmarkEnd w:id="21"/>
      <w:bookmarkEnd w:id="22"/>
      <w:bookmarkEnd w:id="23"/>
      <w:bookmarkEnd w:id="24"/>
      <w:bookmarkEnd w:id="25"/>
    </w:p>
    <w:p w:rsidR="00DE60BE" w:rsidRPr="00923DD7" w:rsidRDefault="00A02432" w:rsidP="00923DD7">
      <w:pPr>
        <w:pStyle w:val="Heading3"/>
        <w:numPr>
          <w:ilvl w:val="0"/>
          <w:numId w:val="2"/>
        </w:numPr>
        <w:spacing w:after="280" w:line="240" w:lineRule="auto"/>
        <w:rPr>
          <w:rFonts w:cs="Times New Roman"/>
          <w:b/>
          <w:sz w:val="22"/>
          <w:szCs w:val="22"/>
        </w:rPr>
      </w:pPr>
      <w:bookmarkStart w:id="26" w:name="_Toc512269696"/>
      <w:r w:rsidRPr="00923DD7">
        <w:rPr>
          <w:rFonts w:cs="Times New Roman"/>
          <w:b/>
          <w:sz w:val="22"/>
          <w:szCs w:val="22"/>
        </w:rPr>
        <w:t>INTRODUCTION</w:t>
      </w:r>
      <w:bookmarkEnd w:id="26"/>
    </w:p>
    <w:p w:rsidR="007351B7" w:rsidRPr="00923DD7" w:rsidRDefault="00BA1414" w:rsidP="00923DD7">
      <w:pPr>
        <w:spacing w:after="120" w:line="240" w:lineRule="auto"/>
        <w:ind w:firstLine="720"/>
        <w:rPr>
          <w:rFonts w:ascii="Times New Roman" w:hAnsi="Times New Roman"/>
        </w:rPr>
      </w:pPr>
      <w:r w:rsidRPr="00923DD7">
        <w:rPr>
          <w:rFonts w:ascii="Times New Roman" w:hAnsi="Times New Roman"/>
        </w:rPr>
        <w:t>In 2015 Heads of State agreed</w:t>
      </w:r>
      <w:r w:rsidR="00A02432" w:rsidRPr="00923DD7">
        <w:rPr>
          <w:rFonts w:ascii="Times New Roman" w:hAnsi="Times New Roman"/>
        </w:rPr>
        <w:t xml:space="preserve"> </w:t>
      </w:r>
      <w:r w:rsidR="00A26BE9" w:rsidRPr="00923DD7">
        <w:rPr>
          <w:rFonts w:ascii="Times New Roman" w:hAnsi="Times New Roman"/>
        </w:rPr>
        <w:t xml:space="preserve">on the 2030 Agenda and subsequently adopted </w:t>
      </w:r>
      <w:r w:rsidR="00A02432" w:rsidRPr="00923DD7">
        <w:rPr>
          <w:rFonts w:ascii="Times New Roman" w:hAnsi="Times New Roman"/>
        </w:rPr>
        <w:t>17 Sustainable Development Goals (SDGs)</w:t>
      </w:r>
      <w:r w:rsidR="00D64041" w:rsidRPr="00923DD7">
        <w:rPr>
          <w:rFonts w:ascii="Times New Roman" w:hAnsi="Times New Roman"/>
        </w:rPr>
        <w:t xml:space="preserve"> accompanied by 169 associated Targets, </w:t>
      </w:r>
      <w:r w:rsidR="00A26BE9" w:rsidRPr="00923DD7">
        <w:rPr>
          <w:rFonts w:ascii="Times New Roman" w:hAnsi="Times New Roman"/>
        </w:rPr>
        <w:t xml:space="preserve">as a universal call to action to address some of the key </w:t>
      </w:r>
      <w:r w:rsidR="00D64041" w:rsidRPr="00923DD7">
        <w:rPr>
          <w:rFonts w:ascii="Times New Roman" w:hAnsi="Times New Roman"/>
        </w:rPr>
        <w:t>challenges s</w:t>
      </w:r>
      <w:r w:rsidR="00A26BE9" w:rsidRPr="00923DD7">
        <w:rPr>
          <w:rFonts w:ascii="Times New Roman" w:hAnsi="Times New Roman"/>
        </w:rPr>
        <w:t xml:space="preserve">ociety </w:t>
      </w:r>
      <w:r w:rsidR="00D64041" w:rsidRPr="00923DD7">
        <w:rPr>
          <w:rFonts w:ascii="Times New Roman" w:hAnsi="Times New Roman"/>
        </w:rPr>
        <w:t>will have to face up to 2030</w:t>
      </w:r>
      <w:r w:rsidR="00A26BE9" w:rsidRPr="00923DD7">
        <w:rPr>
          <w:rFonts w:ascii="Times New Roman" w:hAnsi="Times New Roman"/>
        </w:rPr>
        <w:t xml:space="preserve">. </w:t>
      </w:r>
      <w:r w:rsidR="00D64041" w:rsidRPr="00923DD7">
        <w:rPr>
          <w:rFonts w:ascii="Times New Roman" w:hAnsi="Times New Roman"/>
        </w:rPr>
        <w:t>Also,</w:t>
      </w:r>
      <w:r w:rsidR="00A26BE9" w:rsidRPr="00923DD7">
        <w:rPr>
          <w:rFonts w:ascii="Times New Roman" w:hAnsi="Times New Roman"/>
        </w:rPr>
        <w:t xml:space="preserve"> </w:t>
      </w:r>
      <w:r w:rsidR="00A02432" w:rsidRPr="00923DD7">
        <w:rPr>
          <w:rFonts w:ascii="Times New Roman" w:hAnsi="Times New Roman"/>
        </w:rPr>
        <w:t>230 Indicators</w:t>
      </w:r>
      <w:r w:rsidR="00D64041" w:rsidRPr="00923DD7">
        <w:rPr>
          <w:rFonts w:ascii="Times New Roman" w:hAnsi="Times New Roman"/>
        </w:rPr>
        <w:t xml:space="preserve"> were agreed upon </w:t>
      </w:r>
      <w:r w:rsidRPr="00923DD7">
        <w:rPr>
          <w:rFonts w:ascii="Times New Roman" w:hAnsi="Times New Roman"/>
        </w:rPr>
        <w:t xml:space="preserve">so </w:t>
      </w:r>
      <w:r w:rsidR="00D64041" w:rsidRPr="00923DD7">
        <w:rPr>
          <w:rFonts w:ascii="Times New Roman" w:hAnsi="Times New Roman"/>
        </w:rPr>
        <w:t xml:space="preserve">as </w:t>
      </w:r>
      <w:r w:rsidR="00385DBD" w:rsidRPr="00923DD7">
        <w:rPr>
          <w:rStyle w:val="EndnoteReference"/>
          <w:rFonts w:ascii="Times New Roman" w:hAnsi="Times New Roman"/>
        </w:rPr>
        <w:endnoteReference w:id="1"/>
      </w:r>
      <w:r w:rsidR="00A26BE9" w:rsidRPr="00923DD7">
        <w:rPr>
          <w:rFonts w:ascii="Times New Roman" w:hAnsi="Times New Roman"/>
        </w:rPr>
        <w:t>t</w:t>
      </w:r>
      <w:r w:rsidR="00D64041" w:rsidRPr="00923DD7">
        <w:rPr>
          <w:rFonts w:ascii="Times New Roman" w:hAnsi="Times New Roman"/>
        </w:rPr>
        <w:t>o help monitor the implementation of the 17 Goals and Targets</w:t>
      </w:r>
      <w:r w:rsidR="00A02432" w:rsidRPr="00923DD7">
        <w:rPr>
          <w:rFonts w:ascii="Times New Roman" w:hAnsi="Times New Roman"/>
        </w:rPr>
        <w:t>.</w:t>
      </w:r>
    </w:p>
    <w:p w:rsidR="00D64041" w:rsidRPr="00923DD7" w:rsidRDefault="00D24C7B" w:rsidP="00923DD7">
      <w:pPr>
        <w:spacing w:after="120" w:line="240" w:lineRule="auto"/>
        <w:ind w:firstLine="720"/>
        <w:rPr>
          <w:rFonts w:ascii="Times New Roman" w:hAnsi="Times New Roman"/>
        </w:rPr>
      </w:pPr>
      <w:r w:rsidRPr="00923DD7">
        <w:rPr>
          <w:rFonts w:ascii="Times New Roman" w:hAnsi="Times New Roman"/>
        </w:rPr>
        <w:t xml:space="preserve">As the successor to the </w:t>
      </w:r>
      <w:r w:rsidR="00A02432" w:rsidRPr="00923DD7">
        <w:rPr>
          <w:rFonts w:ascii="Times New Roman" w:hAnsi="Times New Roman"/>
        </w:rPr>
        <w:t>Millennium Development Goal</w:t>
      </w:r>
      <w:r w:rsidRPr="00923DD7">
        <w:rPr>
          <w:rFonts w:ascii="Times New Roman" w:hAnsi="Times New Roman"/>
        </w:rPr>
        <w:t>s, the SDGs</w:t>
      </w:r>
      <w:r w:rsidR="00D64041" w:rsidRPr="00923DD7">
        <w:rPr>
          <w:rFonts w:ascii="Times New Roman" w:hAnsi="Times New Roman"/>
        </w:rPr>
        <w:t xml:space="preserve"> not only address development, but sustainable development and other areas such as climate change, innovation, sustainable consumption among other priorities</w:t>
      </w:r>
      <w:r w:rsidR="00454286" w:rsidRPr="00923DD7">
        <w:rPr>
          <w:rFonts w:ascii="Times New Roman" w:hAnsi="Times New Roman"/>
        </w:rPr>
        <w:t xml:space="preserve"> that</w:t>
      </w:r>
      <w:r w:rsidR="00D64041" w:rsidRPr="00923DD7">
        <w:rPr>
          <w:rFonts w:ascii="Times New Roman" w:hAnsi="Times New Roman"/>
        </w:rPr>
        <w:t xml:space="preserve"> have been included. The Goals not only tackle the symptoms</w:t>
      </w:r>
      <w:r w:rsidR="002D72FA" w:rsidRPr="00923DD7">
        <w:rPr>
          <w:rFonts w:ascii="Times New Roman" w:hAnsi="Times New Roman"/>
        </w:rPr>
        <w:t>,</w:t>
      </w:r>
      <w:r w:rsidR="00D64041" w:rsidRPr="00923DD7">
        <w:rPr>
          <w:rFonts w:ascii="Times New Roman" w:hAnsi="Times New Roman"/>
        </w:rPr>
        <w:t xml:space="preserve"> but also the root causes of the problems that humanity faces. These Goals are universal and indivisible b</w:t>
      </w:r>
      <w:r w:rsidR="00BA1414" w:rsidRPr="00923DD7">
        <w:rPr>
          <w:rFonts w:ascii="Times New Roman" w:hAnsi="Times New Roman"/>
        </w:rPr>
        <w:t>y their very nature; they</w:t>
      </w:r>
      <w:r w:rsidR="00D64041" w:rsidRPr="00923DD7">
        <w:rPr>
          <w:rFonts w:ascii="Times New Roman" w:hAnsi="Times New Roman"/>
        </w:rPr>
        <w:t xml:space="preserve"> can only be achieved if their interdependent nature is understood, </w:t>
      </w:r>
      <w:r w:rsidR="002D72FA" w:rsidRPr="00923DD7">
        <w:rPr>
          <w:rFonts w:ascii="Times New Roman" w:hAnsi="Times New Roman"/>
        </w:rPr>
        <w:t xml:space="preserve">and </w:t>
      </w:r>
      <w:r w:rsidR="00D64041" w:rsidRPr="00923DD7">
        <w:rPr>
          <w:rFonts w:ascii="Times New Roman" w:hAnsi="Times New Roman"/>
        </w:rPr>
        <w:t>thus it is necessary to focus on the interlinkages between the different Goals.</w:t>
      </w:r>
    </w:p>
    <w:p w:rsidR="00454286" w:rsidRPr="00923DD7" w:rsidRDefault="00454286" w:rsidP="00923DD7">
      <w:pPr>
        <w:spacing w:after="120" w:line="240" w:lineRule="auto"/>
        <w:ind w:firstLine="720"/>
        <w:rPr>
          <w:rFonts w:ascii="Times New Roman" w:hAnsi="Times New Roman"/>
        </w:rPr>
      </w:pPr>
      <w:r w:rsidRPr="00923DD7">
        <w:rPr>
          <w:rFonts w:ascii="Times New Roman" w:hAnsi="Times New Roman"/>
        </w:rPr>
        <w:t>The Sustainable Development Goals recognize that the world is a single complex system in which all the parts and subsystems constantly interact. Global problems such as persistent poverty and climate change should be viewed from this perspective and thus, solutions and policy interventions should consider the synergies, and trade-offs within the system.</w:t>
      </w:r>
    </w:p>
    <w:p w:rsidR="00454286" w:rsidRPr="00923DD7" w:rsidRDefault="00454286" w:rsidP="00923DD7">
      <w:pPr>
        <w:spacing w:before="100" w:beforeAutospacing="1" w:after="100" w:afterAutospacing="1" w:line="240" w:lineRule="auto"/>
        <w:ind w:firstLine="720"/>
        <w:rPr>
          <w:rFonts w:ascii="Times New Roman" w:hAnsi="Times New Roman"/>
        </w:rPr>
      </w:pPr>
      <w:r w:rsidRPr="00923DD7">
        <w:rPr>
          <w:rFonts w:ascii="Times New Roman" w:hAnsi="Times New Roman"/>
        </w:rPr>
        <w:t>A Nexus approach considers that water, energy, food and climate are inextricable linked and actions in one area more often than not have an impact on another. The</w:t>
      </w:r>
      <w:r w:rsidR="002D72FA" w:rsidRPr="00923DD7">
        <w:rPr>
          <w:rFonts w:ascii="Times New Roman" w:hAnsi="Times New Roman"/>
        </w:rPr>
        <w:t>refore, the</w:t>
      </w:r>
      <w:r w:rsidRPr="00923DD7">
        <w:rPr>
          <w:rFonts w:ascii="Times New Roman" w:hAnsi="Times New Roman"/>
        </w:rPr>
        <w:t xml:space="preserve"> Nexus can provide a mean to address the various SDGs</w:t>
      </w:r>
      <w:r w:rsidR="002D72FA" w:rsidRPr="00923DD7">
        <w:rPr>
          <w:rFonts w:ascii="Times New Roman" w:hAnsi="Times New Roman"/>
        </w:rPr>
        <w:t xml:space="preserve"> as it can </w:t>
      </w:r>
      <w:r w:rsidRPr="00923DD7">
        <w:rPr>
          <w:rFonts w:ascii="Times New Roman" w:hAnsi="Times New Roman"/>
        </w:rPr>
        <w:t>provide practical utility in assisting analysis and delivering sustainable solutions.</w:t>
      </w:r>
      <w:r w:rsidR="002D72FA" w:rsidRPr="00923DD7">
        <w:rPr>
          <w:rFonts w:ascii="Times New Roman" w:hAnsi="Times New Roman"/>
        </w:rPr>
        <w:t xml:space="preserve"> In earlier years, the Nexus community focused particularly on the connections between water, food, energy and climate and helped to pioneer and foster ways of delivering more sustain</w:t>
      </w:r>
      <w:r w:rsidR="00BA1414" w:rsidRPr="00923DD7">
        <w:rPr>
          <w:rFonts w:ascii="Times New Roman" w:hAnsi="Times New Roman"/>
        </w:rPr>
        <w:t>able outcomes in these sectors. N</w:t>
      </w:r>
      <w:r w:rsidR="002D72FA" w:rsidRPr="00923DD7">
        <w:rPr>
          <w:rFonts w:ascii="Times New Roman" w:hAnsi="Times New Roman"/>
        </w:rPr>
        <w:t>evertheless, the time has come to apply the approach more widely as it can help to enhance the understanding of connections among other issue such as health, gender, human mobility, population growth and other matters pertaining to the 2030 Agenda.</w:t>
      </w:r>
      <w:r w:rsidR="00BA1414" w:rsidRPr="00923DD7">
        <w:rPr>
          <w:rFonts w:ascii="Times New Roman" w:hAnsi="Times New Roman"/>
        </w:rPr>
        <w:t xml:space="preserve"> </w:t>
      </w:r>
      <w:r w:rsidR="00F71BA7" w:rsidRPr="00923DD7">
        <w:rPr>
          <w:rFonts w:ascii="Times New Roman" w:hAnsi="Times New Roman"/>
        </w:rPr>
        <w:t>This year, the 2018 Nexus Conference extended its focused to capture these connection</w:t>
      </w:r>
      <w:r w:rsidR="00BA1414" w:rsidRPr="00923DD7">
        <w:rPr>
          <w:rFonts w:ascii="Times New Roman" w:hAnsi="Times New Roman"/>
        </w:rPr>
        <w:t>s through an Urban L</w:t>
      </w:r>
      <w:r w:rsidR="00F71BA7" w:rsidRPr="00923DD7">
        <w:rPr>
          <w:rFonts w:ascii="Times New Roman" w:hAnsi="Times New Roman"/>
        </w:rPr>
        <w:t>ens.</w:t>
      </w:r>
    </w:p>
    <w:p w:rsidR="00BA1414" w:rsidRPr="00923DD7" w:rsidRDefault="002D72FA" w:rsidP="00923DD7">
      <w:pPr>
        <w:spacing w:before="100" w:beforeAutospacing="1" w:after="100" w:afterAutospacing="1" w:line="240" w:lineRule="auto"/>
        <w:ind w:firstLine="720"/>
        <w:rPr>
          <w:rFonts w:ascii="Times New Roman" w:hAnsi="Times New Roman"/>
        </w:rPr>
      </w:pPr>
      <w:r w:rsidRPr="00923DD7">
        <w:rPr>
          <w:rFonts w:ascii="Times New Roman" w:hAnsi="Times New Roman"/>
        </w:rPr>
        <w:t>Addressing the Nexus is a way to combat inequalities within and among countries; to build peaceful, just and inclusive societies; to protect human rights and promote gender equality and the empowerment of women and girls; and to en</w:t>
      </w:r>
      <w:r w:rsidR="00BA1414" w:rsidRPr="00923DD7">
        <w:rPr>
          <w:rFonts w:ascii="Times New Roman" w:hAnsi="Times New Roman"/>
        </w:rPr>
        <w:t>sure that humanity operates within planetary boundaries as to promote</w:t>
      </w:r>
      <w:r w:rsidRPr="00923DD7">
        <w:rPr>
          <w:rFonts w:ascii="Times New Roman" w:hAnsi="Times New Roman"/>
        </w:rPr>
        <w:t xml:space="preserve"> lasting protection of the planet and its natural resources, ultimately safeguarding human health and well-being for generations to come.</w:t>
      </w:r>
      <w:r w:rsidR="00200F59" w:rsidRPr="00923DD7">
        <w:rPr>
          <w:rFonts w:ascii="Times New Roman" w:hAnsi="Times New Roman"/>
        </w:rPr>
        <w:t xml:space="preserve"> </w:t>
      </w:r>
    </w:p>
    <w:p w:rsidR="002D72FA" w:rsidRPr="00923DD7" w:rsidRDefault="00200F59" w:rsidP="00923DD7">
      <w:pPr>
        <w:spacing w:before="100" w:beforeAutospacing="1" w:after="100" w:afterAutospacing="1" w:line="240" w:lineRule="auto"/>
        <w:ind w:firstLine="720"/>
        <w:rPr>
          <w:rFonts w:ascii="Times New Roman" w:hAnsi="Times New Roman"/>
        </w:rPr>
      </w:pPr>
      <w:r w:rsidRPr="00923DD7">
        <w:rPr>
          <w:rFonts w:ascii="Times New Roman" w:hAnsi="Times New Roman"/>
        </w:rPr>
        <w:t>The</w:t>
      </w:r>
      <w:r w:rsidR="00BA1414" w:rsidRPr="00923DD7">
        <w:rPr>
          <w:rFonts w:ascii="Times New Roman" w:hAnsi="Times New Roman"/>
        </w:rPr>
        <w:t xml:space="preserve"> Nexus embraces</w:t>
      </w:r>
      <w:r w:rsidRPr="00923DD7">
        <w:rPr>
          <w:rFonts w:ascii="Times New Roman" w:hAnsi="Times New Roman"/>
        </w:rPr>
        <w:t xml:space="preserve"> a circular economy</w:t>
      </w:r>
      <w:r w:rsidR="00654030" w:rsidRPr="00923DD7">
        <w:rPr>
          <w:rFonts w:ascii="Times New Roman" w:hAnsi="Times New Roman"/>
        </w:rPr>
        <w:t xml:space="preserve"> which contrary to the traditional model of extract</w:t>
      </w:r>
      <w:r w:rsidR="00BA1414" w:rsidRPr="00923DD7">
        <w:rPr>
          <w:rFonts w:ascii="Times New Roman" w:hAnsi="Times New Roman"/>
        </w:rPr>
        <w:t>ion-</w:t>
      </w:r>
      <w:r w:rsidR="00654030" w:rsidRPr="00923DD7">
        <w:rPr>
          <w:rFonts w:ascii="Times New Roman" w:hAnsi="Times New Roman"/>
        </w:rPr>
        <w:t>use-dispose</w:t>
      </w:r>
      <w:r w:rsidR="00BA1414" w:rsidRPr="00923DD7">
        <w:rPr>
          <w:rFonts w:ascii="Times New Roman" w:hAnsi="Times New Roman"/>
        </w:rPr>
        <w:t>, it</w:t>
      </w:r>
      <w:r w:rsidR="00654030" w:rsidRPr="00923DD7">
        <w:rPr>
          <w:rFonts w:ascii="Times New Roman" w:hAnsi="Times New Roman"/>
        </w:rPr>
        <w:t xml:space="preserve"> is an economic model that encourages environmental sustainability and attempt</w:t>
      </w:r>
      <w:r w:rsidR="00BA1414" w:rsidRPr="00923DD7">
        <w:rPr>
          <w:rFonts w:ascii="Times New Roman" w:hAnsi="Times New Roman"/>
        </w:rPr>
        <w:t>s</w:t>
      </w:r>
      <w:r w:rsidR="00654030" w:rsidRPr="00923DD7">
        <w:rPr>
          <w:rFonts w:ascii="Times New Roman" w:hAnsi="Times New Roman"/>
        </w:rPr>
        <w:t xml:space="preserve"> to generate as little environmental</w:t>
      </w:r>
      <w:r w:rsidR="00BA1414" w:rsidRPr="00923DD7">
        <w:rPr>
          <w:rFonts w:ascii="Times New Roman" w:hAnsi="Times New Roman"/>
        </w:rPr>
        <w:t xml:space="preserve"> impact </w:t>
      </w:r>
      <w:r w:rsidR="00654030" w:rsidRPr="00923DD7">
        <w:rPr>
          <w:rFonts w:ascii="Times New Roman" w:hAnsi="Times New Roman"/>
        </w:rPr>
        <w:t xml:space="preserve">by keeping resource in use </w:t>
      </w:r>
      <w:r w:rsidR="00BA1414" w:rsidRPr="00923DD7">
        <w:rPr>
          <w:rFonts w:ascii="Times New Roman" w:hAnsi="Times New Roman"/>
        </w:rPr>
        <w:t>for as long as possible. Moreover</w:t>
      </w:r>
      <w:r w:rsidR="00654030" w:rsidRPr="00923DD7">
        <w:rPr>
          <w:rFonts w:ascii="Times New Roman" w:hAnsi="Times New Roman"/>
        </w:rPr>
        <w:t>, the Nexus</w:t>
      </w:r>
      <w:r w:rsidRPr="00923DD7">
        <w:rPr>
          <w:rFonts w:ascii="Times New Roman" w:hAnsi="Times New Roman"/>
        </w:rPr>
        <w:t xml:space="preserve"> supports the m</w:t>
      </w:r>
      <w:r w:rsidR="00654030" w:rsidRPr="00923DD7">
        <w:rPr>
          <w:rFonts w:ascii="Times New Roman" w:hAnsi="Times New Roman"/>
        </w:rPr>
        <w:t>o</w:t>
      </w:r>
      <w:r w:rsidRPr="00923DD7">
        <w:rPr>
          <w:rFonts w:ascii="Times New Roman" w:hAnsi="Times New Roman"/>
        </w:rPr>
        <w:t>ve towards low carbon economies</w:t>
      </w:r>
      <w:r w:rsidR="00BA1414" w:rsidRPr="00923DD7">
        <w:rPr>
          <w:rFonts w:ascii="Times New Roman" w:hAnsi="Times New Roman"/>
        </w:rPr>
        <w:t>-</w:t>
      </w:r>
      <w:r w:rsidR="00654030" w:rsidRPr="00923DD7">
        <w:rPr>
          <w:rFonts w:ascii="Times New Roman" w:hAnsi="Times New Roman"/>
        </w:rPr>
        <w:t xml:space="preserve"> economies that use lo</w:t>
      </w:r>
      <w:r w:rsidR="00BA1414" w:rsidRPr="00923DD7">
        <w:rPr>
          <w:rFonts w:ascii="Times New Roman" w:hAnsi="Times New Roman"/>
        </w:rPr>
        <w:t>w carbon power and therefore have</w:t>
      </w:r>
      <w:r w:rsidR="00654030" w:rsidRPr="00923DD7">
        <w:rPr>
          <w:rFonts w:ascii="Times New Roman" w:hAnsi="Times New Roman"/>
        </w:rPr>
        <w:t xml:space="preserve"> minimal Green House Gas (GHG) emission. </w:t>
      </w:r>
    </w:p>
    <w:p w:rsidR="002D72FA" w:rsidRPr="00923DD7" w:rsidRDefault="002D72FA" w:rsidP="00923DD7">
      <w:pPr>
        <w:shd w:val="clear" w:color="auto" w:fill="FFFFFF"/>
        <w:spacing w:after="120" w:line="240" w:lineRule="auto"/>
        <w:ind w:firstLine="720"/>
        <w:rPr>
          <w:rFonts w:ascii="Times New Roman" w:eastAsia="Times New Roman" w:hAnsi="Times New Roman"/>
          <w:color w:val="222222"/>
          <w:lang w:val="en-CA" w:eastAsia="en-CA"/>
        </w:rPr>
      </w:pPr>
      <w:r w:rsidRPr="00923DD7">
        <w:rPr>
          <w:rFonts w:ascii="Times New Roman" w:eastAsia="Times New Roman" w:hAnsi="Times New Roman"/>
          <w:color w:val="222222"/>
          <w:lang w:val="en-CA" w:eastAsia="en-CA"/>
        </w:rPr>
        <w:t>The key challenge of the ‘Nexus’ will be identifying policies and programmatic interventions along this approach</w:t>
      </w:r>
      <w:r w:rsidR="00743B70" w:rsidRPr="00923DD7">
        <w:rPr>
          <w:rFonts w:ascii="Times New Roman" w:eastAsia="Times New Roman" w:hAnsi="Times New Roman"/>
          <w:color w:val="222222"/>
          <w:lang w:val="en-CA" w:eastAsia="en-CA"/>
        </w:rPr>
        <w:t>, designing processes that mirror the systems in which we live and the systems we seek to build</w:t>
      </w:r>
      <w:r w:rsidRPr="00923DD7">
        <w:rPr>
          <w:rFonts w:ascii="Times New Roman" w:eastAsia="Times New Roman" w:hAnsi="Times New Roman"/>
          <w:color w:val="222222"/>
          <w:lang w:val="en-CA" w:eastAsia="en-CA"/>
        </w:rPr>
        <w:t xml:space="preserve">. In this context, the Nexus seeks to create a platforms and opportunities for identifying </w:t>
      </w:r>
      <w:r w:rsidRPr="00923DD7">
        <w:rPr>
          <w:rFonts w:ascii="Times New Roman" w:eastAsia="Times New Roman" w:hAnsi="Times New Roman"/>
          <w:color w:val="222222"/>
          <w:lang w:val="en-CA" w:eastAsia="en-CA"/>
        </w:rPr>
        <w:lastRenderedPageBreak/>
        <w:t xml:space="preserve">context-specific development solutions to these issues. Innovative development interventions </w:t>
      </w:r>
      <w:r w:rsidR="00BA1414" w:rsidRPr="00923DD7">
        <w:rPr>
          <w:rFonts w:ascii="Times New Roman" w:eastAsia="Times New Roman" w:hAnsi="Times New Roman"/>
          <w:color w:val="222222"/>
          <w:lang w:val="en-CA" w:eastAsia="en-CA"/>
        </w:rPr>
        <w:t>that bring</w:t>
      </w:r>
      <w:r w:rsidRPr="00923DD7">
        <w:rPr>
          <w:rFonts w:ascii="Times New Roman" w:eastAsia="Times New Roman" w:hAnsi="Times New Roman"/>
          <w:color w:val="222222"/>
          <w:lang w:val="en-CA" w:eastAsia="en-CA"/>
        </w:rPr>
        <w:t xml:space="preserve"> multiple stakeholders and actors together to address the multi-pronged challenges is essential for the implementation of the SDGs. For example, the efforts towards creating national and global SDG platforms provide one such avenue for multi-stakeholder and multi-sectoral exchange to foster sustainable development.</w:t>
      </w:r>
    </w:p>
    <w:p w:rsidR="00F71BA7" w:rsidRPr="00923DD7" w:rsidRDefault="00F71BA7" w:rsidP="00923DD7">
      <w:pPr>
        <w:shd w:val="clear" w:color="auto" w:fill="FFFFFF"/>
        <w:spacing w:after="120" w:line="240" w:lineRule="auto"/>
        <w:ind w:firstLine="720"/>
        <w:rPr>
          <w:rFonts w:ascii="Times New Roman" w:eastAsia="Times New Roman" w:hAnsi="Times New Roman"/>
          <w:color w:val="222222"/>
          <w:lang w:val="en-CA" w:eastAsia="en-CA"/>
        </w:rPr>
      </w:pPr>
      <w:r w:rsidRPr="00923DD7">
        <w:rPr>
          <w:rFonts w:ascii="Times New Roman" w:eastAsia="Times New Roman" w:hAnsi="Times New Roman"/>
          <w:color w:val="222222"/>
          <w:lang w:val="en-CA" w:eastAsia="en-CA"/>
        </w:rPr>
        <w:t>During the 2018 Nexus Conference different stakeholders ranging from government officials, intergovernmental organizations,</w:t>
      </w:r>
      <w:r w:rsidR="00BA1414" w:rsidRPr="00923DD7">
        <w:rPr>
          <w:rFonts w:ascii="Times New Roman" w:eastAsia="Times New Roman" w:hAnsi="Times New Roman"/>
          <w:color w:val="222222"/>
          <w:lang w:val="en-CA" w:eastAsia="en-CA"/>
        </w:rPr>
        <w:t xml:space="preserve"> and</w:t>
      </w:r>
      <w:r w:rsidRPr="00923DD7">
        <w:rPr>
          <w:rFonts w:ascii="Times New Roman" w:eastAsia="Times New Roman" w:hAnsi="Times New Roman"/>
          <w:color w:val="222222"/>
          <w:lang w:val="en-CA" w:eastAsia="en-CA"/>
        </w:rPr>
        <w:t xml:space="preserve"> NGOs</w:t>
      </w:r>
      <w:r w:rsidR="00BA1414" w:rsidRPr="00923DD7">
        <w:rPr>
          <w:rFonts w:ascii="Times New Roman" w:eastAsia="Times New Roman" w:hAnsi="Times New Roman"/>
          <w:color w:val="222222"/>
          <w:lang w:val="en-CA" w:eastAsia="en-CA"/>
        </w:rPr>
        <w:t>,</w:t>
      </w:r>
      <w:r w:rsidRPr="00923DD7">
        <w:rPr>
          <w:rFonts w:ascii="Times New Roman" w:eastAsia="Times New Roman" w:hAnsi="Times New Roman"/>
          <w:color w:val="222222"/>
          <w:lang w:val="en-CA" w:eastAsia="en-CA"/>
        </w:rPr>
        <w:t xml:space="preserve"> to the private sector and academia among others, gather</w:t>
      </w:r>
      <w:r w:rsidR="00BA1414" w:rsidRPr="00923DD7">
        <w:rPr>
          <w:rFonts w:ascii="Times New Roman" w:eastAsia="Times New Roman" w:hAnsi="Times New Roman"/>
          <w:color w:val="222222"/>
          <w:lang w:val="en-CA" w:eastAsia="en-CA"/>
        </w:rPr>
        <w:t>ed</w:t>
      </w:r>
      <w:r w:rsidRPr="00923DD7">
        <w:rPr>
          <w:rFonts w:ascii="Times New Roman" w:eastAsia="Times New Roman" w:hAnsi="Times New Roman"/>
          <w:color w:val="222222"/>
          <w:lang w:val="en-CA" w:eastAsia="en-CA"/>
        </w:rPr>
        <w:t xml:space="preserve"> to share their knowledge with the hope of providing insights and </w:t>
      </w:r>
      <w:r w:rsidRPr="00923DD7">
        <w:rPr>
          <w:rFonts w:ascii="Times New Roman" w:hAnsi="Times New Roman"/>
        </w:rPr>
        <w:t xml:space="preserve">identifying challenges that should </w:t>
      </w:r>
      <w:r w:rsidRPr="00923DD7">
        <w:rPr>
          <w:rFonts w:ascii="Times New Roman" w:eastAsia="Times New Roman" w:hAnsi="Times New Roman"/>
          <w:color w:val="222222"/>
          <w:lang w:val="en-CA" w:eastAsia="en-CA"/>
        </w:rPr>
        <w:t>be address in the 2018 High-Level Political Forum. T</w:t>
      </w:r>
      <w:r w:rsidRPr="00923DD7">
        <w:rPr>
          <w:rFonts w:ascii="Times New Roman" w:hAnsi="Times New Roman"/>
        </w:rPr>
        <w:t>he conference demonstrated that there is a growing body of research and modelling efforts that explore the Nexus between the different development challenges. Such research can</w:t>
      </w:r>
      <w:r w:rsidR="00BA1414" w:rsidRPr="00923DD7">
        <w:rPr>
          <w:rFonts w:ascii="Times New Roman" w:hAnsi="Times New Roman"/>
        </w:rPr>
        <w:t xml:space="preserve"> provide important pathways to implement innovative solutions for the SDGs</w:t>
      </w:r>
      <w:r w:rsidRPr="00923DD7">
        <w:rPr>
          <w:rFonts w:ascii="Times New Roman" w:hAnsi="Times New Roman"/>
        </w:rPr>
        <w:t>, and be a powerful policy tools for governments at all levels.</w:t>
      </w:r>
    </w:p>
    <w:p w:rsidR="003E4D33" w:rsidRPr="00923DD7" w:rsidRDefault="00A02432" w:rsidP="00923DD7">
      <w:pPr>
        <w:shd w:val="clear" w:color="auto" w:fill="FFFFFF"/>
        <w:spacing w:after="120" w:line="240" w:lineRule="auto"/>
        <w:ind w:firstLine="720"/>
        <w:rPr>
          <w:rFonts w:ascii="Times New Roman" w:eastAsia="Times New Roman" w:hAnsi="Times New Roman"/>
          <w:color w:val="222222"/>
          <w:lang w:val="en-CA" w:eastAsia="en-CA"/>
        </w:rPr>
      </w:pPr>
      <w:r w:rsidRPr="00923DD7">
        <w:rPr>
          <w:rFonts w:ascii="Times New Roman" w:hAnsi="Times New Roman"/>
        </w:rPr>
        <w:t xml:space="preserve">In June 2018 Member States will start negotiating the Ministerial Declaration for the UN High Level Political Forum (HLPF) annual review. The 2018 theme of the HLPF is </w:t>
      </w:r>
      <w:r w:rsidRPr="00923DD7">
        <w:rPr>
          <w:rFonts w:ascii="Times New Roman" w:hAnsi="Times New Roman"/>
          <w:b/>
          <w:bCs/>
          <w:color w:val="2F5496" w:themeColor="accent1" w:themeShade="BF"/>
        </w:rPr>
        <w:t>“Transformation towards sustainable and resilient societies”</w:t>
      </w:r>
      <w:r w:rsidRPr="00923DD7">
        <w:rPr>
          <w:rFonts w:ascii="Times New Roman" w:hAnsi="Times New Roman"/>
          <w:color w:val="4472C4"/>
        </w:rPr>
        <w:t xml:space="preserve">. </w:t>
      </w:r>
      <w:r w:rsidR="00200F59" w:rsidRPr="00923DD7">
        <w:rPr>
          <w:rFonts w:ascii="Times New Roman" w:hAnsi="Times New Roman"/>
        </w:rPr>
        <w:t xml:space="preserve">Goal 2, although not under review, have also been included as we considered that it is essential to the Nexus, and to </w:t>
      </w:r>
      <w:r w:rsidR="008C5006" w:rsidRPr="00923DD7">
        <w:rPr>
          <w:rFonts w:ascii="Times New Roman" w:hAnsi="Times New Roman"/>
        </w:rPr>
        <w:t xml:space="preserve">the </w:t>
      </w:r>
      <w:r w:rsidR="00200F59" w:rsidRPr="00923DD7">
        <w:rPr>
          <w:rFonts w:ascii="Times New Roman" w:hAnsi="Times New Roman"/>
        </w:rPr>
        <w:t>achieve</w:t>
      </w:r>
      <w:r w:rsidR="008C5006" w:rsidRPr="00923DD7">
        <w:rPr>
          <w:rFonts w:ascii="Times New Roman" w:hAnsi="Times New Roman"/>
        </w:rPr>
        <w:t>ment of</w:t>
      </w:r>
      <w:r w:rsidR="00200F59" w:rsidRPr="00923DD7">
        <w:rPr>
          <w:rFonts w:ascii="Times New Roman" w:hAnsi="Times New Roman"/>
        </w:rPr>
        <w:t xml:space="preserve"> sustainable and resilient societies. The </w:t>
      </w:r>
      <w:r w:rsidR="00F71BA7" w:rsidRPr="00923DD7">
        <w:rPr>
          <w:rFonts w:ascii="Times New Roman" w:hAnsi="Times New Roman"/>
        </w:rPr>
        <w:t>set of Goals and Targets</w:t>
      </w:r>
      <w:r w:rsidR="00200F59" w:rsidRPr="00923DD7">
        <w:rPr>
          <w:rFonts w:ascii="Times New Roman" w:hAnsi="Times New Roman"/>
        </w:rPr>
        <w:t xml:space="preserve"> under review,</w:t>
      </w:r>
      <w:r w:rsidRPr="00923DD7">
        <w:rPr>
          <w:rFonts w:ascii="Times New Roman" w:hAnsi="Times New Roman"/>
        </w:rPr>
        <w:t xml:space="preserve"> all of which are relevant to the Nexus</w:t>
      </w:r>
      <w:r w:rsidR="00200F59" w:rsidRPr="00923DD7">
        <w:rPr>
          <w:rFonts w:ascii="Times New Roman" w:hAnsi="Times New Roman"/>
        </w:rPr>
        <w:t>, include</w:t>
      </w:r>
      <w:r w:rsidRPr="00923DD7">
        <w:rPr>
          <w:rFonts w:ascii="Times New Roman" w:hAnsi="Times New Roman"/>
        </w:rPr>
        <w:t>:</w:t>
      </w:r>
    </w:p>
    <w:bookmarkStart w:id="27" w:name="_Hlk508085714"/>
    <w:p w:rsidR="00A02432" w:rsidRPr="00923DD7" w:rsidRDefault="00DE60BE" w:rsidP="00923DD7">
      <w:pPr>
        <w:spacing w:after="240" w:line="240" w:lineRule="auto"/>
        <w:rPr>
          <w:rFonts w:ascii="Times New Roman" w:hAnsi="Times New Roman"/>
          <w:b/>
          <w:bCs/>
          <w:color w:val="4472C4"/>
          <w:u w:val="single"/>
        </w:rPr>
      </w:pPr>
      <w:r w:rsidRPr="00923DD7">
        <w:rPr>
          <w:rFonts w:ascii="Times New Roman" w:hAnsi="Times New Roman"/>
          <w:b/>
          <w:bCs/>
          <w:color w:val="4472C4" w:themeColor="accent1"/>
          <w:u w:val="single"/>
        </w:rPr>
        <w:fldChar w:fldCharType="begin"/>
      </w:r>
      <w:r w:rsidRPr="00923DD7">
        <w:rPr>
          <w:rFonts w:ascii="Times New Roman" w:hAnsi="Times New Roman"/>
          <w:b/>
          <w:bCs/>
          <w:color w:val="4472C4" w:themeColor="accent1"/>
          <w:u w:val="single"/>
        </w:rPr>
        <w:instrText xml:space="preserve"> HYPERLINK "http://www.undp.org/content/undp/en/home/sustainable-development-goals/goal-2-zero-hunger.html" </w:instrText>
      </w:r>
      <w:r w:rsidRPr="00923DD7">
        <w:rPr>
          <w:rFonts w:ascii="Times New Roman" w:hAnsi="Times New Roman"/>
          <w:b/>
          <w:bCs/>
          <w:color w:val="4472C4" w:themeColor="accent1"/>
          <w:u w:val="single"/>
        </w:rPr>
        <w:fldChar w:fldCharType="separate"/>
      </w:r>
      <w:r w:rsidR="00A02432" w:rsidRPr="00923DD7">
        <w:rPr>
          <w:rStyle w:val="Hyperlink"/>
          <w:rFonts w:ascii="Times New Roman" w:hAnsi="Times New Roman"/>
          <w:color w:val="4472C4" w:themeColor="accent1"/>
        </w:rPr>
        <w:t>GOAL</w:t>
      </w:r>
      <w:r w:rsidRPr="00923DD7">
        <w:rPr>
          <w:rStyle w:val="Hyperlink"/>
          <w:rFonts w:ascii="Times New Roman" w:hAnsi="Times New Roman"/>
          <w:color w:val="4472C4" w:themeColor="accent1"/>
        </w:rPr>
        <w:t xml:space="preserve"> </w:t>
      </w:r>
      <w:r w:rsidR="00A02432" w:rsidRPr="00923DD7">
        <w:rPr>
          <w:rStyle w:val="Hyperlink"/>
          <w:rFonts w:ascii="Times New Roman" w:hAnsi="Times New Roman"/>
          <w:color w:val="4472C4" w:themeColor="accent1"/>
        </w:rPr>
        <w:t>2:</w:t>
      </w:r>
      <w:r w:rsidRPr="00923DD7">
        <w:rPr>
          <w:rFonts w:ascii="Times New Roman" w:hAnsi="Times New Roman"/>
          <w:b/>
          <w:bCs/>
          <w:color w:val="4472C4" w:themeColor="accent1"/>
          <w:u w:val="single"/>
        </w:rPr>
        <w:fldChar w:fldCharType="end"/>
      </w:r>
      <w:r w:rsidR="00A02432" w:rsidRPr="00923DD7">
        <w:rPr>
          <w:rFonts w:ascii="Times New Roman" w:hAnsi="Times New Roman"/>
          <w:b/>
          <w:bCs/>
          <w:color w:val="4472C4"/>
          <w:u w:val="single"/>
        </w:rPr>
        <w:t xml:space="preserve"> </w:t>
      </w:r>
      <w:r w:rsidR="00A02432" w:rsidRPr="00923DD7">
        <w:rPr>
          <w:rFonts w:ascii="Times New Roman" w:hAnsi="Times New Roman"/>
          <w:bCs/>
        </w:rPr>
        <w:t>End hunger, achieve food security and improved nutrition, and promote sustainable agriculture.</w:t>
      </w:r>
    </w:p>
    <w:p w:rsidR="00A02432" w:rsidRPr="00923DD7" w:rsidRDefault="00275992" w:rsidP="00923DD7">
      <w:pPr>
        <w:spacing w:after="120" w:line="240" w:lineRule="auto"/>
        <w:rPr>
          <w:rFonts w:ascii="Times New Roman" w:hAnsi="Times New Roman"/>
        </w:rPr>
      </w:pPr>
      <w:hyperlink r:id="rId8" w:history="1">
        <w:r w:rsidR="00A02432" w:rsidRPr="00923DD7">
          <w:rPr>
            <w:rStyle w:val="Hyperlink"/>
            <w:rFonts w:ascii="Times New Roman" w:hAnsi="Times New Roman"/>
            <w:color w:val="034990" w:themeColor="hyperlink" w:themeShade="BF"/>
          </w:rPr>
          <w:t>GOAL 6:</w:t>
        </w:r>
      </w:hyperlink>
      <w:r w:rsidR="00A02432" w:rsidRPr="00923DD7">
        <w:rPr>
          <w:rFonts w:ascii="Times New Roman" w:hAnsi="Times New Roman"/>
          <w:color w:val="2F5496" w:themeColor="accent1" w:themeShade="BF"/>
        </w:rPr>
        <w:t xml:space="preserve"> </w:t>
      </w:r>
      <w:r w:rsidR="00A02432" w:rsidRPr="00923DD7">
        <w:rPr>
          <w:rFonts w:ascii="Times New Roman" w:hAnsi="Times New Roman"/>
        </w:rPr>
        <w:t>Ensure availability and sustainable management of water and sanitation for all.</w:t>
      </w:r>
    </w:p>
    <w:p w:rsidR="00A02432" w:rsidRPr="00923DD7" w:rsidRDefault="00275992" w:rsidP="00923DD7">
      <w:pPr>
        <w:spacing w:after="120" w:line="240" w:lineRule="auto"/>
        <w:rPr>
          <w:rFonts w:ascii="Times New Roman" w:hAnsi="Times New Roman"/>
        </w:rPr>
      </w:pPr>
      <w:hyperlink r:id="rId9" w:history="1">
        <w:r w:rsidR="00A02432" w:rsidRPr="00923DD7">
          <w:rPr>
            <w:rStyle w:val="Hyperlink"/>
            <w:rFonts w:ascii="Times New Roman" w:hAnsi="Times New Roman"/>
            <w:color w:val="034990" w:themeColor="hyperlink" w:themeShade="BF"/>
          </w:rPr>
          <w:t>GOAL 7:</w:t>
        </w:r>
      </w:hyperlink>
      <w:r w:rsidR="00A02432" w:rsidRPr="00923DD7">
        <w:rPr>
          <w:rFonts w:ascii="Times New Roman" w:hAnsi="Times New Roman"/>
          <w:color w:val="2F5496" w:themeColor="accent1" w:themeShade="BF"/>
        </w:rPr>
        <w:t xml:space="preserve"> </w:t>
      </w:r>
      <w:r w:rsidR="00A02432" w:rsidRPr="00923DD7">
        <w:rPr>
          <w:rFonts w:ascii="Times New Roman" w:hAnsi="Times New Roman"/>
        </w:rPr>
        <w:t>Ensure access to affordable, reliable, sustainable and modern energy for all.</w:t>
      </w:r>
    </w:p>
    <w:p w:rsidR="00A02432" w:rsidRPr="00923DD7" w:rsidRDefault="00275992" w:rsidP="00923DD7">
      <w:pPr>
        <w:spacing w:after="120" w:line="240" w:lineRule="auto"/>
        <w:rPr>
          <w:rFonts w:ascii="Times New Roman" w:hAnsi="Times New Roman"/>
        </w:rPr>
      </w:pPr>
      <w:hyperlink r:id="rId10" w:history="1">
        <w:r w:rsidR="00A02432" w:rsidRPr="00923DD7">
          <w:rPr>
            <w:rStyle w:val="Hyperlink"/>
            <w:rFonts w:ascii="Times New Roman" w:hAnsi="Times New Roman"/>
            <w:color w:val="034990" w:themeColor="hyperlink" w:themeShade="BF"/>
          </w:rPr>
          <w:t>GOAL 11:</w:t>
        </w:r>
        <w:bookmarkStart w:id="28" w:name="_Hlk506384729"/>
      </w:hyperlink>
      <w:r w:rsidR="00A02432" w:rsidRPr="00923DD7">
        <w:rPr>
          <w:rFonts w:ascii="Times New Roman" w:hAnsi="Times New Roman"/>
          <w:color w:val="2F5496" w:themeColor="accent1" w:themeShade="BF"/>
        </w:rPr>
        <w:t xml:space="preserve"> </w:t>
      </w:r>
      <w:bookmarkEnd w:id="28"/>
      <w:r w:rsidR="00A02432" w:rsidRPr="00923DD7">
        <w:rPr>
          <w:rFonts w:ascii="Times New Roman" w:hAnsi="Times New Roman"/>
        </w:rPr>
        <w:t>Make cities and human settlements inclusive, safe, resilient and sustainable.</w:t>
      </w:r>
    </w:p>
    <w:p w:rsidR="00A02432" w:rsidRPr="00923DD7" w:rsidRDefault="00275992" w:rsidP="00923DD7">
      <w:pPr>
        <w:spacing w:after="120" w:line="240" w:lineRule="auto"/>
        <w:rPr>
          <w:rFonts w:ascii="Times New Roman" w:hAnsi="Times New Roman"/>
        </w:rPr>
      </w:pPr>
      <w:hyperlink r:id="rId11" w:history="1">
        <w:r w:rsidR="00A02432" w:rsidRPr="00923DD7">
          <w:rPr>
            <w:rStyle w:val="Hyperlink"/>
            <w:rFonts w:ascii="Times New Roman" w:hAnsi="Times New Roman"/>
            <w:color w:val="034990" w:themeColor="hyperlink" w:themeShade="BF"/>
          </w:rPr>
          <w:t>GOAL 12:</w:t>
        </w:r>
      </w:hyperlink>
      <w:r w:rsidR="00A02432" w:rsidRPr="00923DD7">
        <w:rPr>
          <w:rFonts w:ascii="Times New Roman" w:hAnsi="Times New Roman"/>
          <w:color w:val="2F5496" w:themeColor="accent1" w:themeShade="BF"/>
        </w:rPr>
        <w:t xml:space="preserve"> </w:t>
      </w:r>
      <w:r w:rsidR="00A02432" w:rsidRPr="00923DD7">
        <w:rPr>
          <w:rFonts w:ascii="Times New Roman" w:hAnsi="Times New Roman"/>
        </w:rPr>
        <w:t>Ensure sustainable consumption and production patterns.</w:t>
      </w:r>
    </w:p>
    <w:p w:rsidR="00A02432" w:rsidRPr="00923DD7" w:rsidRDefault="00275992" w:rsidP="00923DD7">
      <w:pPr>
        <w:spacing w:after="120" w:line="240" w:lineRule="auto"/>
        <w:rPr>
          <w:rFonts w:ascii="Times New Roman" w:hAnsi="Times New Roman"/>
        </w:rPr>
      </w:pPr>
      <w:hyperlink r:id="rId12" w:history="1">
        <w:r w:rsidR="00A02432" w:rsidRPr="00923DD7">
          <w:rPr>
            <w:rStyle w:val="Hyperlink"/>
            <w:rFonts w:ascii="Times New Roman" w:hAnsi="Times New Roman"/>
            <w:color w:val="034990" w:themeColor="hyperlink" w:themeShade="BF"/>
          </w:rPr>
          <w:t>GOAL15</w:t>
        </w:r>
      </w:hyperlink>
      <w:r w:rsidR="00A02432" w:rsidRPr="00923DD7">
        <w:rPr>
          <w:rFonts w:ascii="Times New Roman" w:hAnsi="Times New Roman"/>
          <w:color w:val="2F5496" w:themeColor="accent1" w:themeShade="BF"/>
        </w:rPr>
        <w:t xml:space="preserve">: </w:t>
      </w:r>
      <w:r w:rsidR="00A02432" w:rsidRPr="00923DD7">
        <w:rPr>
          <w:rFonts w:ascii="Times New Roman" w:hAnsi="Times New Roman"/>
        </w:rPr>
        <w:t>Protect, restore and promote sustainable use of terrestrial ecosystems, sustainably manage forests, combat desertification, and halt and reverse land degradation and halt biodiversity loss.</w:t>
      </w:r>
    </w:p>
    <w:p w:rsidR="00D64041" w:rsidRPr="00923DD7" w:rsidRDefault="00275992" w:rsidP="00923DD7">
      <w:pPr>
        <w:spacing w:after="280" w:line="240" w:lineRule="auto"/>
        <w:rPr>
          <w:rFonts w:ascii="Times New Roman" w:hAnsi="Times New Roman"/>
        </w:rPr>
      </w:pPr>
      <w:hyperlink r:id="rId13" w:history="1">
        <w:r w:rsidR="00A02432" w:rsidRPr="00923DD7">
          <w:rPr>
            <w:rStyle w:val="Hyperlink"/>
            <w:rFonts w:ascii="Times New Roman" w:hAnsi="Times New Roman"/>
            <w:color w:val="034990" w:themeColor="hyperlink" w:themeShade="BF"/>
          </w:rPr>
          <w:t>GOAL 17:</w:t>
        </w:r>
      </w:hyperlink>
      <w:r w:rsidR="00A02432" w:rsidRPr="00923DD7">
        <w:rPr>
          <w:rFonts w:ascii="Times New Roman" w:hAnsi="Times New Roman"/>
          <w:color w:val="2F5496" w:themeColor="accent1" w:themeShade="BF"/>
        </w:rPr>
        <w:t xml:space="preserve"> </w:t>
      </w:r>
      <w:bookmarkStart w:id="29" w:name="_Hlk506384713"/>
      <w:r w:rsidR="00A02432" w:rsidRPr="00923DD7">
        <w:rPr>
          <w:rFonts w:ascii="Times New Roman" w:hAnsi="Times New Roman"/>
        </w:rPr>
        <w:t>Strengthen the means of implementation and revitalize the Global Partnership for Sustainable Development</w:t>
      </w:r>
      <w:bookmarkEnd w:id="27"/>
      <w:bookmarkEnd w:id="29"/>
      <w:r w:rsidR="00A02432" w:rsidRPr="00923DD7">
        <w:rPr>
          <w:rFonts w:ascii="Times New Roman" w:hAnsi="Times New Roman"/>
        </w:rPr>
        <w:t>.</w:t>
      </w:r>
    </w:p>
    <w:p w:rsidR="00A02432" w:rsidRPr="00923DD7" w:rsidRDefault="00A02432" w:rsidP="00923DD7">
      <w:pPr>
        <w:spacing w:after="280" w:line="240" w:lineRule="auto"/>
        <w:ind w:firstLine="720"/>
        <w:rPr>
          <w:rFonts w:ascii="Times New Roman" w:hAnsi="Times New Roman"/>
        </w:rPr>
      </w:pPr>
      <w:r w:rsidRPr="00923DD7">
        <w:rPr>
          <w:rFonts w:ascii="Times New Roman" w:hAnsi="Times New Roman"/>
        </w:rPr>
        <w:t>Guiding the 2030 Agenda and the Sustainable Development Goals are a set of critical principles that also guide our work on the Nexus. These are the purpose and principles of the Charter of the United Nation, the Universal Declaration of Human Rights. Other international agreements on human rights such as the Paris Agreement on Climate Change, the Addis Ababa Action Agenda, the New Urban Agenda and the Sendai Framework for Disaster Relief</w:t>
      </w:r>
      <w:r w:rsidR="001420EC" w:rsidRPr="00923DD7">
        <w:rPr>
          <w:rFonts w:ascii="Times New Roman" w:hAnsi="Times New Roman"/>
        </w:rPr>
        <w:t xml:space="preserve"> also</w:t>
      </w:r>
      <w:r w:rsidRPr="00923DD7">
        <w:rPr>
          <w:rFonts w:ascii="Times New Roman" w:hAnsi="Times New Roman"/>
        </w:rPr>
        <w:t xml:space="preserve"> need to be considered when considering the Nexus. </w:t>
      </w:r>
    </w:p>
    <w:p w:rsidR="00A02432" w:rsidRPr="00923DD7" w:rsidRDefault="003E4D33" w:rsidP="00923DD7">
      <w:pPr>
        <w:spacing w:after="480" w:line="240" w:lineRule="auto"/>
        <w:ind w:firstLine="720"/>
        <w:rPr>
          <w:rFonts w:ascii="Times New Roman" w:hAnsi="Times New Roman"/>
        </w:rPr>
      </w:pPr>
      <w:r w:rsidRPr="00923DD7">
        <w:rPr>
          <w:rFonts w:ascii="Times New Roman" w:hAnsi="Times New Roman"/>
        </w:rPr>
        <w:t>The Conference identified</w:t>
      </w:r>
      <w:r w:rsidR="00A02432" w:rsidRPr="00923DD7">
        <w:rPr>
          <w:rFonts w:ascii="Times New Roman" w:hAnsi="Times New Roman"/>
        </w:rPr>
        <w:t xml:space="preserve"> </w:t>
      </w:r>
      <w:r w:rsidR="008C5006" w:rsidRPr="00923DD7">
        <w:rPr>
          <w:rFonts w:ascii="Times New Roman" w:hAnsi="Times New Roman"/>
        </w:rPr>
        <w:t>several</w:t>
      </w:r>
      <w:r w:rsidR="00A02432" w:rsidRPr="00923DD7">
        <w:rPr>
          <w:rFonts w:ascii="Times New Roman" w:hAnsi="Times New Roman"/>
        </w:rPr>
        <w:t xml:space="preserve"> challenges that should be addressed in this year’s High Level Political Forum’s Ministerial Declaration: </w:t>
      </w:r>
    </w:p>
    <w:p w:rsidR="007351B7" w:rsidRPr="00923DD7" w:rsidRDefault="00A02432" w:rsidP="00923DD7">
      <w:pPr>
        <w:pStyle w:val="Heading3"/>
        <w:numPr>
          <w:ilvl w:val="0"/>
          <w:numId w:val="2"/>
        </w:numPr>
        <w:spacing w:after="280" w:line="240" w:lineRule="auto"/>
        <w:ind w:left="714" w:hanging="357"/>
        <w:rPr>
          <w:rFonts w:cs="Times New Roman"/>
          <w:b/>
          <w:sz w:val="22"/>
          <w:szCs w:val="22"/>
        </w:rPr>
      </w:pPr>
      <w:bookmarkStart w:id="30" w:name="_Toc512269697"/>
      <w:r w:rsidRPr="00923DD7">
        <w:rPr>
          <w:rFonts w:cs="Times New Roman"/>
          <w:b/>
          <w:sz w:val="22"/>
          <w:szCs w:val="22"/>
        </w:rPr>
        <w:t>HIGHLIGHTING CHALLENGES TO DELIVERING THE SDGS BEING REVIEWED IN 2018</w:t>
      </w:r>
      <w:bookmarkEnd w:id="30"/>
      <w:r w:rsidRPr="00923DD7">
        <w:rPr>
          <w:rFonts w:cs="Times New Roman"/>
          <w:b/>
          <w:sz w:val="22"/>
          <w:szCs w:val="22"/>
        </w:rPr>
        <w:t xml:space="preserve"> </w:t>
      </w:r>
    </w:p>
    <w:p w:rsidR="007351B7" w:rsidRPr="00923DD7" w:rsidRDefault="00A02432" w:rsidP="00923DD7">
      <w:pPr>
        <w:pStyle w:val="Heading4"/>
        <w:numPr>
          <w:ilvl w:val="1"/>
          <w:numId w:val="2"/>
        </w:numPr>
        <w:spacing w:after="120" w:line="240" w:lineRule="auto"/>
        <w:ind w:left="714" w:hanging="357"/>
        <w:rPr>
          <w:rFonts w:cs="Times New Roman"/>
          <w:sz w:val="22"/>
        </w:rPr>
      </w:pPr>
      <w:bookmarkStart w:id="31" w:name="_Toc512269698"/>
      <w:r w:rsidRPr="00923DD7">
        <w:rPr>
          <w:rFonts w:cs="Times New Roman"/>
          <w:sz w:val="22"/>
        </w:rPr>
        <w:t>Goal 6: Ensure availability and sustainable management of water and sanitation for all</w:t>
      </w:r>
      <w:bookmarkEnd w:id="31"/>
    </w:p>
    <w:p w:rsidR="00A02432" w:rsidRPr="00923DD7" w:rsidRDefault="00A02432" w:rsidP="00923DD7">
      <w:pPr>
        <w:spacing w:after="120" w:line="240" w:lineRule="auto"/>
        <w:ind w:firstLine="720"/>
        <w:rPr>
          <w:rFonts w:ascii="Times New Roman" w:hAnsi="Times New Roman"/>
        </w:rPr>
      </w:pPr>
      <w:bookmarkStart w:id="32" w:name="_Hlk504410219"/>
      <w:r w:rsidRPr="00923DD7">
        <w:rPr>
          <w:rFonts w:ascii="Times New Roman" w:hAnsi="Times New Roman"/>
        </w:rPr>
        <w:t xml:space="preserve">Water is a limited natural resource that needs to be managed for the benefit of the community, city, state and region. </w:t>
      </w:r>
      <w:r w:rsidR="009445CB" w:rsidRPr="00923DD7">
        <w:rPr>
          <w:rFonts w:ascii="Times New Roman" w:hAnsi="Times New Roman"/>
        </w:rPr>
        <w:t xml:space="preserve">The World Health Organization estimates total global economic losses due to inadequate water supply and sanitation services at USD $260 billion a year. Equitable </w:t>
      </w:r>
      <w:r w:rsidRPr="00923DD7">
        <w:rPr>
          <w:rFonts w:ascii="Times New Roman" w:hAnsi="Times New Roman"/>
        </w:rPr>
        <w:t>approaches to water management and urban design should be part of any response to climate change</w:t>
      </w:r>
      <w:r w:rsidR="009445CB" w:rsidRPr="00923DD7">
        <w:rPr>
          <w:rFonts w:ascii="Times New Roman" w:hAnsi="Times New Roman"/>
        </w:rPr>
        <w:t xml:space="preserve"> and of all efforts to </w:t>
      </w:r>
      <w:r w:rsidR="009445CB" w:rsidRPr="00923DD7">
        <w:rPr>
          <w:rFonts w:ascii="Times New Roman" w:hAnsi="Times New Roman"/>
        </w:rPr>
        <w:lastRenderedPageBreak/>
        <w:t>achieve sustainable development</w:t>
      </w:r>
      <w:r w:rsidRPr="00923DD7">
        <w:rPr>
          <w:rFonts w:ascii="Times New Roman" w:hAnsi="Times New Roman"/>
        </w:rPr>
        <w:t>. This can be done through embracing a circular economy through effective infrastructure planning</w:t>
      </w:r>
      <w:r w:rsidR="00114AD3" w:rsidRPr="00923DD7">
        <w:rPr>
          <w:rFonts w:ascii="Times New Roman" w:hAnsi="Times New Roman"/>
        </w:rPr>
        <w:t xml:space="preserve"> and</w:t>
      </w:r>
      <w:r w:rsidRPr="00923DD7">
        <w:rPr>
          <w:rFonts w:ascii="Times New Roman" w:hAnsi="Times New Roman"/>
        </w:rPr>
        <w:t xml:space="preserve"> strategic land use in regions</w:t>
      </w:r>
      <w:r w:rsidR="00787C6A" w:rsidRPr="00923DD7">
        <w:rPr>
          <w:rFonts w:ascii="Times New Roman" w:hAnsi="Times New Roman"/>
        </w:rPr>
        <w:t xml:space="preserve"> and investment in water, sanitation and hygiene</w:t>
      </w:r>
      <w:r w:rsidRPr="00923DD7">
        <w:rPr>
          <w:rFonts w:ascii="Times New Roman" w:hAnsi="Times New Roman"/>
        </w:rPr>
        <w:t>.  Fostering a holistic approach to water use and renewable energy</w:t>
      </w:r>
      <w:r w:rsidR="001420EC" w:rsidRPr="00923DD7">
        <w:rPr>
          <w:rFonts w:ascii="Times New Roman" w:hAnsi="Times New Roman"/>
        </w:rPr>
        <w:t xml:space="preserve"> can</w:t>
      </w:r>
      <w:r w:rsidR="008C5006" w:rsidRPr="00923DD7">
        <w:rPr>
          <w:rFonts w:ascii="Times New Roman" w:hAnsi="Times New Roman"/>
        </w:rPr>
        <w:t xml:space="preserve"> help reduce their </w:t>
      </w:r>
      <w:r w:rsidR="00D323B3" w:rsidRPr="00923DD7">
        <w:rPr>
          <w:rFonts w:ascii="Times New Roman" w:hAnsi="Times New Roman"/>
        </w:rPr>
        <w:t>consumption</w:t>
      </w:r>
      <w:r w:rsidR="00654030" w:rsidRPr="00923DD7">
        <w:rPr>
          <w:rFonts w:ascii="Times New Roman" w:hAnsi="Times New Roman"/>
        </w:rPr>
        <w:t>,</w:t>
      </w:r>
      <w:r w:rsidR="00D323B3" w:rsidRPr="00923DD7">
        <w:rPr>
          <w:rFonts w:ascii="Times New Roman" w:hAnsi="Times New Roman"/>
        </w:rPr>
        <w:t xml:space="preserve"> and</w:t>
      </w:r>
      <w:r w:rsidRPr="00923DD7">
        <w:rPr>
          <w:rFonts w:ascii="Times New Roman" w:hAnsi="Times New Roman"/>
        </w:rPr>
        <w:t xml:space="preserve"> decr</w:t>
      </w:r>
      <w:r w:rsidR="008C5006" w:rsidRPr="00923DD7">
        <w:rPr>
          <w:rFonts w:ascii="Times New Roman" w:hAnsi="Times New Roman"/>
        </w:rPr>
        <w:t xml:space="preserve">ease waste and GHG </w:t>
      </w:r>
      <w:r w:rsidR="007035EE" w:rsidRPr="00923DD7">
        <w:rPr>
          <w:rFonts w:ascii="Times New Roman" w:hAnsi="Times New Roman"/>
        </w:rPr>
        <w:t>emissions</w:t>
      </w:r>
      <w:r w:rsidR="008C5006" w:rsidRPr="00923DD7">
        <w:rPr>
          <w:rFonts w:ascii="Times New Roman" w:hAnsi="Times New Roman"/>
        </w:rPr>
        <w:t xml:space="preserve"> what</w:t>
      </w:r>
      <w:r w:rsidR="00654030" w:rsidRPr="00923DD7">
        <w:rPr>
          <w:rFonts w:ascii="Times New Roman" w:hAnsi="Times New Roman"/>
        </w:rPr>
        <w:t xml:space="preserve"> in turn </w:t>
      </w:r>
      <w:r w:rsidR="008C5006" w:rsidRPr="00923DD7">
        <w:rPr>
          <w:rFonts w:ascii="Times New Roman" w:hAnsi="Times New Roman"/>
        </w:rPr>
        <w:t>contributes</w:t>
      </w:r>
      <w:r w:rsidR="00D323B3" w:rsidRPr="00923DD7">
        <w:rPr>
          <w:rFonts w:ascii="Times New Roman" w:hAnsi="Times New Roman"/>
        </w:rPr>
        <w:t xml:space="preserve"> to</w:t>
      </w:r>
      <w:r w:rsidRPr="00923DD7">
        <w:rPr>
          <w:rFonts w:ascii="Times New Roman" w:hAnsi="Times New Roman"/>
        </w:rPr>
        <w:t xml:space="preserve"> deliver</w:t>
      </w:r>
      <w:r w:rsidR="008C5006" w:rsidRPr="00923DD7">
        <w:rPr>
          <w:rFonts w:ascii="Times New Roman" w:hAnsi="Times New Roman"/>
        </w:rPr>
        <w:t>ing</w:t>
      </w:r>
      <w:r w:rsidRPr="00923DD7">
        <w:rPr>
          <w:rFonts w:ascii="Times New Roman" w:hAnsi="Times New Roman"/>
        </w:rPr>
        <w:t xml:space="preserve"> more efficient and sustaina</w:t>
      </w:r>
      <w:r w:rsidR="008C5006" w:rsidRPr="00923DD7">
        <w:rPr>
          <w:rFonts w:ascii="Times New Roman" w:hAnsi="Times New Roman"/>
        </w:rPr>
        <w:t>ble</w:t>
      </w:r>
      <w:r w:rsidR="00654030" w:rsidRPr="00923DD7">
        <w:rPr>
          <w:rFonts w:ascii="Times New Roman" w:hAnsi="Times New Roman"/>
        </w:rPr>
        <w:t xml:space="preserve"> cities and regions</w:t>
      </w:r>
      <w:r w:rsidRPr="00923DD7">
        <w:rPr>
          <w:rFonts w:ascii="Times New Roman" w:hAnsi="Times New Roman"/>
        </w:rPr>
        <w:t xml:space="preserve">. What is more, </w:t>
      </w:r>
      <w:r w:rsidR="00787C6A" w:rsidRPr="00923DD7">
        <w:rPr>
          <w:rFonts w:ascii="Times New Roman" w:hAnsi="Times New Roman"/>
        </w:rPr>
        <w:t xml:space="preserve">expanding access to </w:t>
      </w:r>
      <w:r w:rsidRPr="00923DD7">
        <w:rPr>
          <w:rFonts w:ascii="Times New Roman" w:hAnsi="Times New Roman"/>
        </w:rPr>
        <w:t xml:space="preserve">energy, water, and land resources </w:t>
      </w:r>
      <w:r w:rsidR="00787C6A" w:rsidRPr="00923DD7">
        <w:rPr>
          <w:rFonts w:ascii="Times New Roman" w:hAnsi="Times New Roman"/>
        </w:rPr>
        <w:t xml:space="preserve">contributes to reducing poverty </w:t>
      </w:r>
      <w:r w:rsidR="00D323B3" w:rsidRPr="00923DD7">
        <w:rPr>
          <w:rFonts w:ascii="Times New Roman" w:hAnsi="Times New Roman"/>
        </w:rPr>
        <w:t>and achieving</w:t>
      </w:r>
      <w:r w:rsidRPr="00923DD7">
        <w:rPr>
          <w:rFonts w:ascii="Times New Roman" w:hAnsi="Times New Roman"/>
        </w:rPr>
        <w:t xml:space="preserve"> food security</w:t>
      </w:r>
      <w:r w:rsidR="00787C6A" w:rsidRPr="00923DD7">
        <w:rPr>
          <w:rFonts w:ascii="Times New Roman" w:hAnsi="Times New Roman"/>
        </w:rPr>
        <w:t>, with interrelated economic and environmental benefits.</w:t>
      </w:r>
    </w:p>
    <w:p w:rsidR="00A02432" w:rsidRPr="00923DD7" w:rsidRDefault="00A02432" w:rsidP="00923DD7">
      <w:pPr>
        <w:spacing w:after="280" w:line="240" w:lineRule="auto"/>
        <w:ind w:firstLine="720"/>
        <w:rPr>
          <w:rFonts w:ascii="Times New Roman" w:hAnsi="Times New Roman"/>
        </w:rPr>
      </w:pPr>
      <w:r w:rsidRPr="00923DD7">
        <w:rPr>
          <w:rFonts w:ascii="Times New Roman" w:hAnsi="Times New Roman"/>
        </w:rPr>
        <w:t xml:space="preserve">Within </w:t>
      </w:r>
      <w:r w:rsidR="007035EE" w:rsidRPr="00923DD7">
        <w:rPr>
          <w:rFonts w:ascii="Times New Roman" w:hAnsi="Times New Roman"/>
        </w:rPr>
        <w:t xml:space="preserve">the </w:t>
      </w:r>
      <w:r w:rsidRPr="00923DD7">
        <w:rPr>
          <w:rFonts w:ascii="Times New Roman" w:hAnsi="Times New Roman"/>
        </w:rPr>
        <w:t>ongoing discussion of a circular e</w:t>
      </w:r>
      <w:r w:rsidR="00743B70" w:rsidRPr="00923DD7">
        <w:rPr>
          <w:rFonts w:ascii="Times New Roman" w:hAnsi="Times New Roman"/>
        </w:rPr>
        <w:t>conomy, this conference explored</w:t>
      </w:r>
      <w:r w:rsidRPr="00923DD7">
        <w:rPr>
          <w:rFonts w:ascii="Times New Roman" w:hAnsi="Times New Roman"/>
        </w:rPr>
        <w:t xml:space="preserve"> the role of tradeoffs in enhancing resilience along the continuum of Water-Energy-Food</w:t>
      </w:r>
      <w:r w:rsidR="006C424A" w:rsidRPr="00923DD7">
        <w:rPr>
          <w:rFonts w:ascii="Times New Roman" w:hAnsi="Times New Roman"/>
        </w:rPr>
        <w:t xml:space="preserve"> and Climate</w:t>
      </w:r>
      <w:r w:rsidRPr="00923DD7">
        <w:rPr>
          <w:rFonts w:ascii="Times New Roman" w:hAnsi="Times New Roman"/>
        </w:rPr>
        <w:t xml:space="preserve"> Nexus. This would entail acknowledging that cha</w:t>
      </w:r>
      <w:r w:rsidR="006C424A" w:rsidRPr="00923DD7">
        <w:rPr>
          <w:rFonts w:ascii="Times New Roman" w:hAnsi="Times New Roman"/>
        </w:rPr>
        <w:t>nges such as climate change</w:t>
      </w:r>
      <w:r w:rsidRPr="00923DD7">
        <w:rPr>
          <w:rFonts w:ascii="Times New Roman" w:hAnsi="Times New Roman"/>
        </w:rPr>
        <w:t xml:space="preserve"> can be seen as prime movers </w:t>
      </w:r>
      <w:r w:rsidR="00497B8F" w:rsidRPr="00923DD7">
        <w:rPr>
          <w:rFonts w:ascii="Times New Roman" w:hAnsi="Times New Roman"/>
        </w:rPr>
        <w:t>of migration</w:t>
      </w:r>
      <w:r w:rsidR="006C424A" w:rsidRPr="00923DD7">
        <w:rPr>
          <w:rFonts w:ascii="Times New Roman" w:hAnsi="Times New Roman"/>
        </w:rPr>
        <w:t xml:space="preserve"> which as well have </w:t>
      </w:r>
      <w:r w:rsidRPr="00923DD7">
        <w:rPr>
          <w:rFonts w:ascii="Times New Roman" w:hAnsi="Times New Roman"/>
        </w:rPr>
        <w:t>health</w:t>
      </w:r>
      <w:r w:rsidR="006C424A" w:rsidRPr="00923DD7">
        <w:rPr>
          <w:rFonts w:ascii="Times New Roman" w:hAnsi="Times New Roman"/>
        </w:rPr>
        <w:t xml:space="preserve"> impacts</w:t>
      </w:r>
      <w:r w:rsidR="00654030" w:rsidRPr="00923DD7">
        <w:rPr>
          <w:rFonts w:ascii="Times New Roman" w:hAnsi="Times New Roman"/>
        </w:rPr>
        <w:t xml:space="preserve"> and</w:t>
      </w:r>
      <w:r w:rsidR="006C424A" w:rsidRPr="00923DD7">
        <w:rPr>
          <w:rFonts w:ascii="Times New Roman" w:hAnsi="Times New Roman"/>
        </w:rPr>
        <w:t xml:space="preserve"> which </w:t>
      </w:r>
      <w:r w:rsidR="00654030" w:rsidRPr="00923DD7">
        <w:rPr>
          <w:rFonts w:ascii="Times New Roman" w:hAnsi="Times New Roman"/>
        </w:rPr>
        <w:t>in turn impact urbanization, thus</w:t>
      </w:r>
      <w:r w:rsidR="006C424A" w:rsidRPr="00923DD7">
        <w:rPr>
          <w:rFonts w:ascii="Times New Roman" w:hAnsi="Times New Roman"/>
        </w:rPr>
        <w:t xml:space="preserve"> affecting water, energy and food demand. </w:t>
      </w:r>
      <w:bookmarkEnd w:id="32"/>
    </w:p>
    <w:p w:rsidR="00A02432" w:rsidRPr="00923DD7" w:rsidRDefault="00A02432" w:rsidP="00923DD7">
      <w:pPr>
        <w:pStyle w:val="Heading4"/>
        <w:numPr>
          <w:ilvl w:val="1"/>
          <w:numId w:val="2"/>
        </w:numPr>
        <w:spacing w:after="120" w:line="240" w:lineRule="auto"/>
        <w:rPr>
          <w:rFonts w:cs="Times New Roman"/>
          <w:sz w:val="22"/>
        </w:rPr>
      </w:pPr>
      <w:bookmarkStart w:id="33" w:name="_Toc512269699"/>
      <w:r w:rsidRPr="00923DD7">
        <w:rPr>
          <w:rFonts w:cs="Times New Roman"/>
          <w:sz w:val="22"/>
        </w:rPr>
        <w:t>Goal 7: Ensure access to affordable, reliable, sustainable and modern energy for all</w:t>
      </w:r>
      <w:bookmarkEnd w:id="33"/>
      <w:r w:rsidRPr="00923DD7">
        <w:rPr>
          <w:rFonts w:cs="Times New Roman"/>
          <w:sz w:val="22"/>
        </w:rPr>
        <w:t xml:space="preserve"> </w:t>
      </w:r>
    </w:p>
    <w:p w:rsidR="008C5006" w:rsidRPr="00923DD7" w:rsidRDefault="00A02432" w:rsidP="00923DD7">
      <w:pPr>
        <w:spacing w:after="120" w:line="240" w:lineRule="auto"/>
        <w:ind w:firstLine="720"/>
        <w:rPr>
          <w:rFonts w:ascii="Times New Roman" w:hAnsi="Times New Roman"/>
        </w:rPr>
      </w:pPr>
      <w:r w:rsidRPr="00923DD7">
        <w:rPr>
          <w:rFonts w:ascii="Times New Roman" w:hAnsi="Times New Roman"/>
        </w:rPr>
        <w:t xml:space="preserve">To deliver the goal of the Paris Agreements of keeping the rising global temperatures below 2 degrees Celsius it is critical to move to a low carbon </w:t>
      </w:r>
      <w:r w:rsidR="00743B70" w:rsidRPr="00923DD7">
        <w:rPr>
          <w:rFonts w:ascii="Times New Roman" w:hAnsi="Times New Roman"/>
        </w:rPr>
        <w:t xml:space="preserve">and circular </w:t>
      </w:r>
      <w:r w:rsidRPr="00923DD7">
        <w:rPr>
          <w:rFonts w:ascii="Times New Roman" w:hAnsi="Times New Roman"/>
        </w:rPr>
        <w:t xml:space="preserve">economy in the next 15 years. </w:t>
      </w:r>
    </w:p>
    <w:p w:rsidR="00A02432" w:rsidRPr="00923DD7" w:rsidRDefault="00A02432" w:rsidP="00923DD7">
      <w:pPr>
        <w:spacing w:after="120" w:line="240" w:lineRule="auto"/>
        <w:ind w:firstLine="720"/>
        <w:rPr>
          <w:rFonts w:ascii="Times New Roman" w:hAnsi="Times New Roman"/>
        </w:rPr>
      </w:pPr>
      <w:r w:rsidRPr="00923DD7">
        <w:rPr>
          <w:rFonts w:ascii="Times New Roman" w:hAnsi="Times New Roman"/>
        </w:rPr>
        <w:t>All types of energy generation consume water either through their process of accessing the raw materials or maintaining the power plants that generate the electricity. The move towards renewable energy not only contribute to climate change mitigation, but also in most cases, renewable energies can reduce the use of water</w:t>
      </w:r>
      <w:r w:rsidR="00D323B3" w:rsidRPr="00923DD7">
        <w:rPr>
          <w:rFonts w:ascii="Times New Roman" w:hAnsi="Times New Roman"/>
        </w:rPr>
        <w:t xml:space="preserve"> (biofuels excluded)</w:t>
      </w:r>
      <w:r w:rsidRPr="00923DD7">
        <w:rPr>
          <w:rFonts w:ascii="Times New Roman" w:hAnsi="Times New Roman"/>
        </w:rPr>
        <w:t xml:space="preserve">. </w:t>
      </w:r>
      <w:r w:rsidRPr="00923DD7">
        <w:rPr>
          <w:rFonts w:ascii="Times New Roman" w:hAnsi="Times New Roman"/>
          <w:color w:val="222222"/>
          <w:shd w:val="clear" w:color="auto" w:fill="FFFFFF"/>
        </w:rPr>
        <w:t> Therefore, it is essential to recognize sustainable and renewable use of energy as key for mitigating climatic risks and overconsumption of water resources.</w:t>
      </w:r>
      <w:r w:rsidRPr="00923DD7">
        <w:rPr>
          <w:rFonts w:ascii="Times New Roman" w:hAnsi="Times New Roman"/>
        </w:rPr>
        <w:t xml:space="preserve"> Key renewable energy sources such as solar and wind are very low in their use of water. </w:t>
      </w:r>
    </w:p>
    <w:p w:rsidR="00A02432" w:rsidRPr="00923DD7" w:rsidRDefault="00A02432" w:rsidP="00923DD7">
      <w:pPr>
        <w:spacing w:after="280" w:line="240" w:lineRule="auto"/>
        <w:ind w:firstLine="720"/>
        <w:rPr>
          <w:rFonts w:ascii="Times New Roman" w:hAnsi="Times New Roman"/>
        </w:rPr>
      </w:pPr>
      <w:r w:rsidRPr="00923DD7">
        <w:rPr>
          <w:rFonts w:ascii="Times New Roman" w:hAnsi="Times New Roman"/>
        </w:rPr>
        <w:t>Energy has acted historically as a driver of development and the l</w:t>
      </w:r>
      <w:r w:rsidR="00743B70" w:rsidRPr="00923DD7">
        <w:rPr>
          <w:rFonts w:ascii="Times New Roman" w:hAnsi="Times New Roman"/>
        </w:rPr>
        <w:t>ack of sustainable energy is</w:t>
      </w:r>
      <w:r w:rsidRPr="00923DD7">
        <w:rPr>
          <w:rFonts w:ascii="Times New Roman" w:hAnsi="Times New Roman"/>
        </w:rPr>
        <w:t xml:space="preserve"> a possible security concern in the future. </w:t>
      </w:r>
    </w:p>
    <w:p w:rsidR="00A02432" w:rsidRPr="00923DD7" w:rsidRDefault="00A02432" w:rsidP="00923DD7">
      <w:pPr>
        <w:pStyle w:val="Heading4"/>
        <w:numPr>
          <w:ilvl w:val="1"/>
          <w:numId w:val="2"/>
        </w:numPr>
        <w:spacing w:after="120" w:line="240" w:lineRule="auto"/>
        <w:rPr>
          <w:rFonts w:cs="Times New Roman"/>
          <w:sz w:val="22"/>
        </w:rPr>
      </w:pPr>
      <w:bookmarkStart w:id="34" w:name="_Toc512269700"/>
      <w:r w:rsidRPr="00923DD7">
        <w:rPr>
          <w:rFonts w:cs="Times New Roman"/>
          <w:sz w:val="22"/>
        </w:rPr>
        <w:t>Goal 11: Make cities and human settlements inclusive, safe, resilient and sustainable</w:t>
      </w:r>
      <w:bookmarkEnd w:id="34"/>
    </w:p>
    <w:p w:rsidR="00A02432" w:rsidRPr="00923DD7" w:rsidRDefault="00654030" w:rsidP="00923DD7">
      <w:pPr>
        <w:spacing w:after="120" w:line="240" w:lineRule="auto"/>
        <w:ind w:firstLine="720"/>
        <w:rPr>
          <w:rFonts w:ascii="Times New Roman" w:hAnsi="Times New Roman"/>
        </w:rPr>
      </w:pPr>
      <w:r w:rsidRPr="00923DD7">
        <w:rPr>
          <w:rFonts w:ascii="Times New Roman" w:hAnsi="Times New Roman"/>
        </w:rPr>
        <w:t xml:space="preserve">Since for the first time in human history most people reside in cities and towns, and these places require considerable amount of resource to be maintained, they </w:t>
      </w:r>
      <w:r w:rsidR="008C5006" w:rsidRPr="00923DD7">
        <w:rPr>
          <w:rFonts w:ascii="Times New Roman" w:hAnsi="Times New Roman"/>
        </w:rPr>
        <w:t>are a crucial focal point for delivering</w:t>
      </w:r>
      <w:r w:rsidRPr="00923DD7">
        <w:rPr>
          <w:rFonts w:ascii="Times New Roman" w:hAnsi="Times New Roman"/>
        </w:rPr>
        <w:t xml:space="preserve"> the SDGs. </w:t>
      </w:r>
      <w:r w:rsidR="00A02432" w:rsidRPr="00923DD7">
        <w:rPr>
          <w:rFonts w:ascii="Times New Roman" w:hAnsi="Times New Roman"/>
        </w:rPr>
        <w:t>Most of the169 SDGs targets can only be achieved through sustainable innovation by local communities and local actors including local authorities. The localization of the SDGs needs to become a priority and the role of cities in implementing the SDGs needs to be further recognized.</w:t>
      </w:r>
    </w:p>
    <w:p w:rsidR="00A02432" w:rsidRPr="00923DD7" w:rsidRDefault="00A02432" w:rsidP="00923DD7">
      <w:pPr>
        <w:spacing w:after="120" w:line="240" w:lineRule="auto"/>
        <w:ind w:firstLine="720"/>
        <w:rPr>
          <w:rFonts w:ascii="Times New Roman" w:hAnsi="Times New Roman"/>
        </w:rPr>
      </w:pPr>
      <w:r w:rsidRPr="00923DD7">
        <w:rPr>
          <w:rFonts w:ascii="Times New Roman" w:hAnsi="Times New Roman"/>
        </w:rPr>
        <w:t>Urban areas are at</w:t>
      </w:r>
      <w:r w:rsidR="008C5006" w:rsidRPr="00923DD7">
        <w:rPr>
          <w:rFonts w:ascii="Times New Roman" w:hAnsi="Times New Roman"/>
        </w:rPr>
        <w:t xml:space="preserve"> the front of the challenges presented by </w:t>
      </w:r>
      <w:r w:rsidRPr="00923DD7">
        <w:rPr>
          <w:rFonts w:ascii="Times New Roman" w:hAnsi="Times New Roman"/>
        </w:rPr>
        <w:t xml:space="preserve">climate change as they consume 78% of the world’s energy and produce 80% </w:t>
      </w:r>
      <w:r w:rsidR="008C5006" w:rsidRPr="00923DD7">
        <w:rPr>
          <w:rFonts w:ascii="Times New Roman" w:hAnsi="Times New Roman"/>
        </w:rPr>
        <w:t xml:space="preserve">of the world’s GHG </w:t>
      </w:r>
      <w:r w:rsidR="00743B70" w:rsidRPr="00923DD7">
        <w:rPr>
          <w:rFonts w:ascii="Times New Roman" w:hAnsi="Times New Roman"/>
        </w:rPr>
        <w:t>emissions</w:t>
      </w:r>
      <w:r w:rsidRPr="00923DD7">
        <w:rPr>
          <w:rFonts w:ascii="Times New Roman" w:hAnsi="Times New Roman"/>
        </w:rPr>
        <w:t>. Currently, cities are caught in an unsustainable linear flow of energy</w:t>
      </w:r>
      <w:r w:rsidR="008C5006" w:rsidRPr="00923DD7">
        <w:rPr>
          <w:rFonts w:ascii="Times New Roman" w:hAnsi="Times New Roman"/>
        </w:rPr>
        <w:t xml:space="preserve"> which is embedded in linear economy</w:t>
      </w:r>
      <w:r w:rsidRPr="00923DD7">
        <w:rPr>
          <w:rFonts w:ascii="Times New Roman" w:hAnsi="Times New Roman"/>
        </w:rPr>
        <w:t xml:space="preserve">. However, </w:t>
      </w:r>
      <w:r w:rsidR="008C5006" w:rsidRPr="00923DD7">
        <w:rPr>
          <w:rFonts w:ascii="Times New Roman" w:hAnsi="Times New Roman"/>
        </w:rPr>
        <w:t xml:space="preserve">as </w:t>
      </w:r>
      <w:r w:rsidRPr="00923DD7">
        <w:rPr>
          <w:rFonts w:ascii="Times New Roman" w:hAnsi="Times New Roman"/>
        </w:rPr>
        <w:t xml:space="preserve">cities represent the planet’s economic centers – </w:t>
      </w:r>
      <w:r w:rsidR="00743B70" w:rsidRPr="00923DD7">
        <w:rPr>
          <w:rFonts w:ascii="Times New Roman" w:hAnsi="Times New Roman"/>
        </w:rPr>
        <w:t>they account</w:t>
      </w:r>
      <w:r w:rsidRPr="00923DD7">
        <w:rPr>
          <w:rFonts w:ascii="Times New Roman" w:hAnsi="Times New Roman"/>
        </w:rPr>
        <w:t xml:space="preserve"> for 75% of global GDP a</w:t>
      </w:r>
      <w:r w:rsidR="00743B70" w:rsidRPr="00923DD7">
        <w:rPr>
          <w:rFonts w:ascii="Times New Roman" w:hAnsi="Times New Roman"/>
        </w:rPr>
        <w:t>nd their populations and economies</w:t>
      </w:r>
      <w:r w:rsidR="008C5006" w:rsidRPr="00923DD7">
        <w:rPr>
          <w:rFonts w:ascii="Times New Roman" w:hAnsi="Times New Roman"/>
        </w:rPr>
        <w:t xml:space="preserve"> keep expanding, and</w:t>
      </w:r>
      <w:r w:rsidRPr="00923DD7">
        <w:rPr>
          <w:rFonts w:ascii="Times New Roman" w:hAnsi="Times New Roman"/>
        </w:rPr>
        <w:t xml:space="preserve"> they also present an opportunity to foster and im</w:t>
      </w:r>
      <w:r w:rsidR="008C5006" w:rsidRPr="00923DD7">
        <w:rPr>
          <w:rFonts w:ascii="Times New Roman" w:hAnsi="Times New Roman"/>
        </w:rPr>
        <w:t xml:space="preserve">plement sustainable development, encourage circular economies </w:t>
      </w:r>
      <w:r w:rsidRPr="00923DD7">
        <w:rPr>
          <w:rFonts w:ascii="Times New Roman" w:hAnsi="Times New Roman"/>
        </w:rPr>
        <w:t>and impact change</w:t>
      </w:r>
      <w:r w:rsidR="008C5006" w:rsidRPr="00923DD7">
        <w:rPr>
          <w:rFonts w:ascii="Times New Roman" w:hAnsi="Times New Roman"/>
        </w:rPr>
        <w:t xml:space="preserve"> in a broader sense</w:t>
      </w:r>
      <w:r w:rsidRPr="00923DD7">
        <w:rPr>
          <w:rFonts w:ascii="Times New Roman" w:hAnsi="Times New Roman"/>
        </w:rPr>
        <w:t xml:space="preserve">. </w:t>
      </w:r>
    </w:p>
    <w:p w:rsidR="00A02432" w:rsidRPr="00923DD7" w:rsidRDefault="00A02432" w:rsidP="00923DD7">
      <w:pPr>
        <w:spacing w:after="120" w:line="240" w:lineRule="auto"/>
        <w:ind w:firstLine="720"/>
        <w:rPr>
          <w:rFonts w:ascii="Times New Roman" w:hAnsi="Times New Roman"/>
        </w:rPr>
      </w:pPr>
      <w:r w:rsidRPr="00923DD7">
        <w:rPr>
          <w:rFonts w:ascii="Times New Roman" w:hAnsi="Times New Roman"/>
        </w:rPr>
        <w:t>Key to building sustainable cities and communit</w:t>
      </w:r>
      <w:r w:rsidR="00743B70" w:rsidRPr="00923DD7">
        <w:rPr>
          <w:rFonts w:ascii="Times New Roman" w:hAnsi="Times New Roman"/>
        </w:rPr>
        <w:t>ies is the need to safeguard good</w:t>
      </w:r>
      <w:r w:rsidRPr="00923DD7">
        <w:rPr>
          <w:rFonts w:ascii="Times New Roman" w:hAnsi="Times New Roman"/>
        </w:rPr>
        <w:t xml:space="preserve"> health for all. As cities grow in importance on the global scale so will the need to construct urban environments that are not only sustainable</w:t>
      </w:r>
      <w:r w:rsidR="00743B70" w:rsidRPr="00923DD7">
        <w:rPr>
          <w:rFonts w:ascii="Times New Roman" w:hAnsi="Times New Roman"/>
        </w:rPr>
        <w:t>,</w:t>
      </w:r>
      <w:r w:rsidRPr="00923DD7">
        <w:rPr>
          <w:rFonts w:ascii="Times New Roman" w:hAnsi="Times New Roman"/>
        </w:rPr>
        <w:t xml:space="preserve"> but ensure</w:t>
      </w:r>
      <w:r w:rsidR="00743B70" w:rsidRPr="00923DD7">
        <w:rPr>
          <w:rFonts w:ascii="Times New Roman" w:hAnsi="Times New Roman"/>
        </w:rPr>
        <w:t>s</w:t>
      </w:r>
      <w:r w:rsidRPr="00923DD7">
        <w:rPr>
          <w:rFonts w:ascii="Times New Roman" w:hAnsi="Times New Roman"/>
        </w:rPr>
        <w:t xml:space="preserve"> the health and wellbeing of i</w:t>
      </w:r>
      <w:r w:rsidR="00CF1E65" w:rsidRPr="00923DD7">
        <w:rPr>
          <w:rFonts w:ascii="Times New Roman" w:hAnsi="Times New Roman"/>
        </w:rPr>
        <w:t>ts inhabitants. A focus on the N</w:t>
      </w:r>
      <w:r w:rsidRPr="00923DD7">
        <w:rPr>
          <w:rFonts w:ascii="Times New Roman" w:hAnsi="Times New Roman"/>
        </w:rPr>
        <w:t>exus with health will result in reduce</w:t>
      </w:r>
      <w:r w:rsidR="00743B70" w:rsidRPr="00923DD7">
        <w:rPr>
          <w:rFonts w:ascii="Times New Roman" w:hAnsi="Times New Roman"/>
        </w:rPr>
        <w:t>d health burdens and healthcare costs, and</w:t>
      </w:r>
      <w:r w:rsidRPr="00923DD7">
        <w:rPr>
          <w:rFonts w:ascii="Times New Roman" w:hAnsi="Times New Roman"/>
        </w:rPr>
        <w:t xml:space="preserve"> achieve universal health care. </w:t>
      </w:r>
    </w:p>
    <w:p w:rsidR="00A02432" w:rsidRPr="00923DD7" w:rsidRDefault="00A02432" w:rsidP="00923DD7">
      <w:pPr>
        <w:spacing w:after="120" w:line="240" w:lineRule="auto"/>
        <w:ind w:firstLine="720"/>
        <w:rPr>
          <w:rFonts w:ascii="Times New Roman" w:hAnsi="Times New Roman"/>
        </w:rPr>
      </w:pPr>
      <w:r w:rsidRPr="00923DD7">
        <w:rPr>
          <w:rFonts w:ascii="Times New Roman" w:hAnsi="Times New Roman"/>
        </w:rPr>
        <w:t>Urban areas need to be considered as part of their broader territorial landscape and climate, thus facilitating better incorporation of the broader ecological process of the</w:t>
      </w:r>
      <w:r w:rsidR="00743B70" w:rsidRPr="00923DD7">
        <w:rPr>
          <w:rFonts w:ascii="Times New Roman" w:hAnsi="Times New Roman"/>
        </w:rPr>
        <w:t>ir respective</w:t>
      </w:r>
      <w:r w:rsidR="0098617F" w:rsidRPr="00923DD7">
        <w:rPr>
          <w:rFonts w:ascii="Times New Roman" w:hAnsi="Times New Roman"/>
        </w:rPr>
        <w:t xml:space="preserve"> region</w:t>
      </w:r>
      <w:r w:rsidRPr="00923DD7">
        <w:rPr>
          <w:rFonts w:ascii="Times New Roman" w:hAnsi="Times New Roman"/>
        </w:rPr>
        <w:t xml:space="preserve">. This interlinkage between rural and urban areas as well as </w:t>
      </w:r>
      <w:r w:rsidR="00D323B3" w:rsidRPr="00923DD7">
        <w:rPr>
          <w:rFonts w:ascii="Times New Roman" w:hAnsi="Times New Roman"/>
        </w:rPr>
        <w:t>within</w:t>
      </w:r>
      <w:r w:rsidRPr="00923DD7">
        <w:rPr>
          <w:rFonts w:ascii="Times New Roman" w:hAnsi="Times New Roman"/>
        </w:rPr>
        <w:t xml:space="preserve"> the region at large needs to be addressed through a Nexus approach.  </w:t>
      </w:r>
    </w:p>
    <w:p w:rsidR="00A02432" w:rsidRPr="00923DD7" w:rsidRDefault="00A02432" w:rsidP="00923DD7">
      <w:pPr>
        <w:spacing w:after="120" w:line="240" w:lineRule="auto"/>
        <w:ind w:firstLine="720"/>
        <w:rPr>
          <w:rFonts w:ascii="Times New Roman" w:hAnsi="Times New Roman"/>
        </w:rPr>
      </w:pPr>
      <w:r w:rsidRPr="00923DD7">
        <w:rPr>
          <w:rFonts w:ascii="Times New Roman" w:hAnsi="Times New Roman"/>
        </w:rPr>
        <w:lastRenderedPageBreak/>
        <w:t>Urban areas need to develop resilience policies that take account of the Nexus while developing capacities to absorb future shocks and stresses to their social, economic and technical systems and infrastructures.</w:t>
      </w:r>
      <w:r w:rsidR="0098617F" w:rsidRPr="00923DD7">
        <w:rPr>
          <w:rFonts w:ascii="Times New Roman" w:hAnsi="Times New Roman"/>
          <w:color w:val="222222"/>
          <w:shd w:val="clear" w:color="auto" w:fill="FFFFFF"/>
        </w:rPr>
        <w:t xml:space="preserve"> Furthermore</w:t>
      </w:r>
      <w:r w:rsidRPr="00923DD7">
        <w:rPr>
          <w:rFonts w:ascii="Times New Roman" w:hAnsi="Times New Roman"/>
          <w:color w:val="222222"/>
          <w:shd w:val="clear" w:color="auto" w:fill="FFFFFF"/>
        </w:rPr>
        <w:t>, policies should include disaster and climate risks concer</w:t>
      </w:r>
      <w:r w:rsidR="0098617F" w:rsidRPr="00923DD7">
        <w:rPr>
          <w:rFonts w:ascii="Times New Roman" w:hAnsi="Times New Roman"/>
          <w:color w:val="222222"/>
          <w:shd w:val="clear" w:color="auto" w:fill="FFFFFF"/>
        </w:rPr>
        <w:t xml:space="preserve">ns as these increasingly pose </w:t>
      </w:r>
      <w:r w:rsidRPr="00923DD7">
        <w:rPr>
          <w:rFonts w:ascii="Times New Roman" w:hAnsi="Times New Roman"/>
          <w:color w:val="222222"/>
          <w:shd w:val="clear" w:color="auto" w:fill="FFFFFF"/>
        </w:rPr>
        <w:t>fundamental threat</w:t>
      </w:r>
      <w:r w:rsidR="0098617F" w:rsidRPr="00923DD7">
        <w:rPr>
          <w:rFonts w:ascii="Times New Roman" w:hAnsi="Times New Roman"/>
          <w:color w:val="222222"/>
          <w:shd w:val="clear" w:color="auto" w:fill="FFFFFF"/>
        </w:rPr>
        <w:t>s</w:t>
      </w:r>
      <w:r w:rsidRPr="00923DD7">
        <w:rPr>
          <w:rFonts w:ascii="Times New Roman" w:hAnsi="Times New Roman"/>
          <w:color w:val="222222"/>
          <w:shd w:val="clear" w:color="auto" w:fill="FFFFFF"/>
        </w:rPr>
        <w:t xml:space="preserve"> to cities and urban settlements. With cities emerging as engines of development, this is like</w:t>
      </w:r>
      <w:r w:rsidR="0098617F" w:rsidRPr="00923DD7">
        <w:rPr>
          <w:rFonts w:ascii="Times New Roman" w:hAnsi="Times New Roman"/>
          <w:color w:val="222222"/>
          <w:shd w:val="clear" w:color="auto" w:fill="FFFFFF"/>
        </w:rPr>
        <w:t>ly to have far more momentous</w:t>
      </w:r>
      <w:r w:rsidRPr="00923DD7">
        <w:rPr>
          <w:rFonts w:ascii="Times New Roman" w:hAnsi="Times New Roman"/>
          <w:color w:val="222222"/>
          <w:shd w:val="clear" w:color="auto" w:fill="FFFFFF"/>
        </w:rPr>
        <w:t xml:space="preserve"> impact</w:t>
      </w:r>
      <w:r w:rsidR="0098617F" w:rsidRPr="00923DD7">
        <w:rPr>
          <w:rFonts w:ascii="Times New Roman" w:hAnsi="Times New Roman"/>
          <w:color w:val="222222"/>
          <w:shd w:val="clear" w:color="auto" w:fill="FFFFFF"/>
        </w:rPr>
        <w:t>s</w:t>
      </w:r>
      <w:r w:rsidRPr="00923DD7">
        <w:rPr>
          <w:rFonts w:ascii="Times New Roman" w:hAnsi="Times New Roman"/>
          <w:color w:val="222222"/>
          <w:shd w:val="clear" w:color="auto" w:fill="FFFFFF"/>
        </w:rPr>
        <w:t xml:space="preserve"> than envisaged</w:t>
      </w:r>
      <w:r w:rsidRPr="00923DD7">
        <w:rPr>
          <w:rFonts w:ascii="Times New Roman" w:hAnsi="Times New Roman"/>
        </w:rPr>
        <w:t xml:space="preserve">. </w:t>
      </w:r>
    </w:p>
    <w:p w:rsidR="00A02432" w:rsidRPr="00923DD7" w:rsidRDefault="00A02432" w:rsidP="00923DD7">
      <w:pPr>
        <w:spacing w:after="280" w:line="240" w:lineRule="auto"/>
        <w:ind w:firstLine="720"/>
        <w:rPr>
          <w:rFonts w:ascii="Times New Roman" w:hAnsi="Times New Roman"/>
        </w:rPr>
      </w:pPr>
      <w:r w:rsidRPr="00923DD7">
        <w:rPr>
          <w:rFonts w:ascii="Times New Roman" w:hAnsi="Times New Roman"/>
        </w:rPr>
        <w:t xml:space="preserve">The ability to address the different interlinkages will be critical to the success of any resilience strategies. </w:t>
      </w:r>
      <w:r w:rsidR="00D323B3" w:rsidRPr="00923DD7">
        <w:rPr>
          <w:rFonts w:ascii="Times New Roman" w:hAnsi="Times New Roman"/>
        </w:rPr>
        <w:t xml:space="preserve">There needs to be </w:t>
      </w:r>
      <w:r w:rsidRPr="00923DD7">
        <w:rPr>
          <w:rFonts w:ascii="Times New Roman" w:hAnsi="Times New Roman"/>
        </w:rPr>
        <w:t>a serious d</w:t>
      </w:r>
      <w:r w:rsidR="00D323B3" w:rsidRPr="00923DD7">
        <w:rPr>
          <w:rFonts w:ascii="Times New Roman" w:hAnsi="Times New Roman"/>
        </w:rPr>
        <w:t>ialogue</w:t>
      </w:r>
      <w:r w:rsidRPr="00923DD7">
        <w:rPr>
          <w:rFonts w:ascii="Times New Roman" w:hAnsi="Times New Roman"/>
        </w:rPr>
        <w:t xml:space="preserve"> on the enabling environments that cities need, including the role that local and subnational government play in intergovernmental bodies, and the willingness of U.</w:t>
      </w:r>
      <w:r w:rsidR="0098617F" w:rsidRPr="00923DD7">
        <w:rPr>
          <w:rFonts w:ascii="Times New Roman" w:hAnsi="Times New Roman"/>
        </w:rPr>
        <w:t>N. member states to create them. Only then,</w:t>
      </w:r>
      <w:r w:rsidRPr="00923DD7">
        <w:rPr>
          <w:rFonts w:ascii="Times New Roman" w:hAnsi="Times New Roman"/>
        </w:rPr>
        <w:t xml:space="preserve"> will it be possible to roll-out far-reaching initiatives to achieve the ambitious 2030 Agenda.</w:t>
      </w:r>
    </w:p>
    <w:p w:rsidR="00A02432" w:rsidRPr="00923DD7" w:rsidRDefault="00A02432" w:rsidP="00923DD7">
      <w:pPr>
        <w:pStyle w:val="Heading4"/>
        <w:numPr>
          <w:ilvl w:val="1"/>
          <w:numId w:val="2"/>
        </w:numPr>
        <w:spacing w:after="120" w:line="240" w:lineRule="auto"/>
        <w:rPr>
          <w:rFonts w:cs="Times New Roman"/>
          <w:sz w:val="22"/>
        </w:rPr>
      </w:pPr>
      <w:bookmarkStart w:id="35" w:name="_Toc512269701"/>
      <w:r w:rsidRPr="00923DD7">
        <w:rPr>
          <w:rFonts w:cs="Times New Roman"/>
          <w:sz w:val="22"/>
        </w:rPr>
        <w:t>Goal 12: Ensure sustainable consumption and production patterns</w:t>
      </w:r>
      <w:bookmarkEnd w:id="35"/>
    </w:p>
    <w:p w:rsidR="00D323B3" w:rsidRPr="00923DD7" w:rsidRDefault="00D323B3" w:rsidP="00923DD7">
      <w:pPr>
        <w:spacing w:after="280" w:line="240" w:lineRule="auto"/>
        <w:ind w:firstLine="720"/>
        <w:rPr>
          <w:rFonts w:ascii="Times New Roman" w:hAnsi="Times New Roman"/>
        </w:rPr>
      </w:pPr>
      <w:r w:rsidRPr="00923DD7">
        <w:rPr>
          <w:rFonts w:ascii="Times New Roman" w:hAnsi="Times New Roman"/>
        </w:rPr>
        <w:t>One of the critical challenge</w:t>
      </w:r>
      <w:r w:rsidR="0098617F" w:rsidRPr="00923DD7">
        <w:rPr>
          <w:rFonts w:ascii="Times New Roman" w:hAnsi="Times New Roman"/>
        </w:rPr>
        <w:t>s is</w:t>
      </w:r>
      <w:r w:rsidRPr="00923DD7">
        <w:rPr>
          <w:rFonts w:ascii="Times New Roman" w:hAnsi="Times New Roman"/>
        </w:rPr>
        <w:t xml:space="preserve"> that of the </w:t>
      </w:r>
      <w:r w:rsidR="0098617F" w:rsidRPr="00923DD7">
        <w:rPr>
          <w:rFonts w:ascii="Times New Roman" w:hAnsi="Times New Roman"/>
        </w:rPr>
        <w:t xml:space="preserve">lacking </w:t>
      </w:r>
      <w:r w:rsidRPr="00923DD7">
        <w:rPr>
          <w:rFonts w:ascii="Times New Roman" w:hAnsi="Times New Roman"/>
        </w:rPr>
        <w:t>consume</w:t>
      </w:r>
      <w:r w:rsidR="0098617F" w:rsidRPr="00923DD7">
        <w:rPr>
          <w:rFonts w:ascii="Times New Roman" w:hAnsi="Times New Roman"/>
        </w:rPr>
        <w:t xml:space="preserve">r information and awareness </w:t>
      </w:r>
      <w:r w:rsidRPr="00923DD7">
        <w:rPr>
          <w:rFonts w:ascii="Times New Roman" w:hAnsi="Times New Roman"/>
        </w:rPr>
        <w:t>on transitioning to more sustainable consumption and production patterns. Consumers all over the world are demanding a greater ethical and sustainable focus from their products, yet information remains inaccessible and confusing in many cases. Regulation a</w:t>
      </w:r>
      <w:r w:rsidR="0098617F" w:rsidRPr="00923DD7">
        <w:rPr>
          <w:rFonts w:ascii="Times New Roman" w:hAnsi="Times New Roman"/>
        </w:rPr>
        <w:t>nd incentives must come from</w:t>
      </w:r>
      <w:r w:rsidRPr="00923DD7">
        <w:rPr>
          <w:rFonts w:ascii="Times New Roman" w:hAnsi="Times New Roman"/>
        </w:rPr>
        <w:t xml:space="preserve"> government</w:t>
      </w:r>
      <w:r w:rsidR="0098617F" w:rsidRPr="00923DD7">
        <w:rPr>
          <w:rFonts w:ascii="Times New Roman" w:hAnsi="Times New Roman"/>
        </w:rPr>
        <w:t>s, ensuring companies complying</w:t>
      </w:r>
      <w:r w:rsidRPr="00923DD7">
        <w:rPr>
          <w:rFonts w:ascii="Times New Roman" w:hAnsi="Times New Roman"/>
        </w:rPr>
        <w:t xml:space="preserve"> to deliver clear, accessible information on the impact the manufacturing</w:t>
      </w:r>
      <w:r w:rsidR="0098617F" w:rsidRPr="00923DD7">
        <w:rPr>
          <w:rFonts w:ascii="Times New Roman" w:hAnsi="Times New Roman"/>
        </w:rPr>
        <w:t xml:space="preserve"> and transporting </w:t>
      </w:r>
      <w:r w:rsidR="00413BC2" w:rsidRPr="00923DD7">
        <w:rPr>
          <w:rFonts w:ascii="Times New Roman" w:hAnsi="Times New Roman"/>
        </w:rPr>
        <w:t>of products</w:t>
      </w:r>
      <w:r w:rsidR="0098617F" w:rsidRPr="00923DD7">
        <w:rPr>
          <w:rFonts w:ascii="Times New Roman" w:hAnsi="Times New Roman"/>
        </w:rPr>
        <w:t xml:space="preserve"> have</w:t>
      </w:r>
      <w:r w:rsidRPr="00923DD7">
        <w:rPr>
          <w:rFonts w:ascii="Times New Roman" w:hAnsi="Times New Roman"/>
        </w:rPr>
        <w:t xml:space="preserve"> on the planet.</w:t>
      </w:r>
    </w:p>
    <w:p w:rsidR="00A02432" w:rsidRPr="00923DD7" w:rsidRDefault="00A02432" w:rsidP="00923DD7">
      <w:pPr>
        <w:spacing w:after="280" w:line="240" w:lineRule="auto"/>
        <w:ind w:firstLine="720"/>
        <w:rPr>
          <w:rFonts w:ascii="Times New Roman" w:hAnsi="Times New Roman"/>
        </w:rPr>
      </w:pPr>
      <w:r w:rsidRPr="00923DD7">
        <w:rPr>
          <w:rFonts w:ascii="Times New Roman" w:hAnsi="Times New Roman"/>
        </w:rPr>
        <w:t>National, sub-national and local governments</w:t>
      </w:r>
      <w:r w:rsidR="00301E4D" w:rsidRPr="00923DD7">
        <w:rPr>
          <w:rFonts w:ascii="Times New Roman" w:hAnsi="Times New Roman"/>
        </w:rPr>
        <w:t xml:space="preserve"> should create strong </w:t>
      </w:r>
      <w:r w:rsidR="00413BC2" w:rsidRPr="00923DD7">
        <w:rPr>
          <w:rFonts w:ascii="Times New Roman" w:hAnsi="Times New Roman"/>
        </w:rPr>
        <w:t>platforms</w:t>
      </w:r>
      <w:r w:rsidRPr="00923DD7">
        <w:rPr>
          <w:rFonts w:ascii="Times New Roman" w:hAnsi="Times New Roman"/>
        </w:rPr>
        <w:t xml:space="preserve"> for addressing sustainable consumption and production that integrates sector plans into a coherent plan that deals with necessary tradeoffs between the different Nexus elements. This would be achieved thr</w:t>
      </w:r>
      <w:r w:rsidR="0090124E" w:rsidRPr="00923DD7">
        <w:rPr>
          <w:rFonts w:ascii="Times New Roman" w:hAnsi="Times New Roman"/>
        </w:rPr>
        <w:t>ough procurement policies that</w:t>
      </w:r>
      <w:r w:rsidRPr="00923DD7">
        <w:rPr>
          <w:rFonts w:ascii="Times New Roman" w:hAnsi="Times New Roman"/>
        </w:rPr>
        <w:t xml:space="preserve"> promote resource efficiency and reduce negative environmental impacts, as well as helping to accelerate sustainable business practice through targeted regulation.</w:t>
      </w:r>
      <w:r w:rsidR="005934EB" w:rsidRPr="00923DD7">
        <w:rPr>
          <w:rFonts w:ascii="Times New Roman" w:hAnsi="Times New Roman"/>
        </w:rPr>
        <w:t xml:space="preserve">  City dwellers, on average, consume much larger shares of the world's resources than rural dwellers. Ensuring that consumption levels of</w:t>
      </w:r>
      <w:r w:rsidR="0090124E" w:rsidRPr="00923DD7">
        <w:rPr>
          <w:rFonts w:ascii="Times New Roman" w:hAnsi="Times New Roman"/>
        </w:rPr>
        <w:t xml:space="preserve"> the</w:t>
      </w:r>
      <w:r w:rsidR="005934EB" w:rsidRPr="00923DD7">
        <w:rPr>
          <w:rFonts w:ascii="Times New Roman" w:hAnsi="Times New Roman"/>
        </w:rPr>
        <w:t xml:space="preserve"> rich parts of society are reduced to sustainable levels while increasing access to affordable food and other essential resources to poorer urban populations will be essential to meet the SDGs.</w:t>
      </w:r>
    </w:p>
    <w:p w:rsidR="00413BC2" w:rsidRPr="00923DD7" w:rsidRDefault="00413BC2" w:rsidP="00923DD7">
      <w:pPr>
        <w:spacing w:after="280" w:line="240" w:lineRule="auto"/>
        <w:ind w:firstLine="720"/>
        <w:rPr>
          <w:rFonts w:ascii="Times New Roman" w:hAnsi="Times New Roman"/>
        </w:rPr>
      </w:pPr>
      <w:r w:rsidRPr="00923DD7">
        <w:rPr>
          <w:rFonts w:ascii="Times New Roman" w:hAnsi="Times New Roman"/>
          <w:bCs/>
          <w:color w:val="222222"/>
          <w:shd w:val="clear" w:color="auto" w:fill="FFFFFF"/>
        </w:rPr>
        <w:t xml:space="preserve">In addition, sustainable production </w:t>
      </w:r>
      <w:r w:rsidR="00CF1E65" w:rsidRPr="00923DD7">
        <w:rPr>
          <w:rFonts w:ascii="Times New Roman" w:hAnsi="Times New Roman"/>
          <w:bCs/>
          <w:color w:val="222222"/>
          <w:shd w:val="clear" w:color="auto" w:fill="FFFFFF"/>
        </w:rPr>
        <w:t xml:space="preserve">also </w:t>
      </w:r>
      <w:r w:rsidRPr="00923DD7">
        <w:rPr>
          <w:rFonts w:ascii="Times New Roman" w:hAnsi="Times New Roman"/>
          <w:bCs/>
          <w:color w:val="222222"/>
          <w:shd w:val="clear" w:color="auto" w:fill="FFFFFF"/>
        </w:rPr>
        <w:t>includes the sustainable use of productive assets such as working animals whose contribution can be both more sustainable and more productive by the implementation of simple welfare and animal protection measures. </w:t>
      </w:r>
    </w:p>
    <w:p w:rsidR="00A02432" w:rsidRPr="00923DD7" w:rsidRDefault="00A02432" w:rsidP="00923DD7">
      <w:pPr>
        <w:pStyle w:val="Heading4"/>
        <w:numPr>
          <w:ilvl w:val="1"/>
          <w:numId w:val="2"/>
        </w:numPr>
        <w:spacing w:after="120" w:line="240" w:lineRule="auto"/>
        <w:rPr>
          <w:rFonts w:cs="Times New Roman"/>
          <w:sz w:val="22"/>
        </w:rPr>
      </w:pPr>
      <w:bookmarkStart w:id="36" w:name="_Toc512269702"/>
      <w:r w:rsidRPr="00923DD7">
        <w:rPr>
          <w:rFonts w:cs="Times New Roman"/>
          <w:sz w:val="22"/>
        </w:rPr>
        <w:t>Goal 15: Protect, restore and promote sustainable use of terrestrial ecosystems, sustainably manage forests, combat desertification, and halt and reverse land degradation and halt biodiversity loss</w:t>
      </w:r>
      <w:bookmarkEnd w:id="36"/>
    </w:p>
    <w:p w:rsidR="00CF1E65" w:rsidRPr="00923DD7" w:rsidRDefault="00A02432" w:rsidP="00923DD7">
      <w:pPr>
        <w:spacing w:after="120" w:line="240" w:lineRule="auto"/>
        <w:ind w:firstLine="720"/>
        <w:rPr>
          <w:rFonts w:ascii="Times New Roman" w:hAnsi="Times New Roman"/>
        </w:rPr>
      </w:pPr>
      <w:r w:rsidRPr="00923DD7">
        <w:rPr>
          <w:rFonts w:ascii="Times New Roman" w:hAnsi="Times New Roman"/>
        </w:rPr>
        <w:t xml:space="preserve">Ecosystem </w:t>
      </w:r>
      <w:r w:rsidR="0090124E" w:rsidRPr="00923DD7">
        <w:rPr>
          <w:rFonts w:ascii="Times New Roman" w:hAnsi="Times New Roman"/>
        </w:rPr>
        <w:t xml:space="preserve">and land degradation are both </w:t>
      </w:r>
      <w:r w:rsidRPr="00923DD7">
        <w:rPr>
          <w:rFonts w:ascii="Times New Roman" w:hAnsi="Times New Roman"/>
        </w:rPr>
        <w:t>cause</w:t>
      </w:r>
      <w:r w:rsidR="0090124E" w:rsidRPr="00923DD7">
        <w:rPr>
          <w:rFonts w:ascii="Times New Roman" w:hAnsi="Times New Roman"/>
        </w:rPr>
        <w:t>s and</w:t>
      </w:r>
      <w:r w:rsidRPr="00923DD7">
        <w:rPr>
          <w:rFonts w:ascii="Times New Roman" w:hAnsi="Times New Roman"/>
        </w:rPr>
        <w:t xml:space="preserve"> effect</w:t>
      </w:r>
      <w:r w:rsidR="0090124E" w:rsidRPr="00923DD7">
        <w:rPr>
          <w:rFonts w:ascii="Times New Roman" w:hAnsi="Times New Roman"/>
        </w:rPr>
        <w:t>s</w:t>
      </w:r>
      <w:r w:rsidRPr="00923DD7">
        <w:rPr>
          <w:rFonts w:ascii="Times New Roman" w:hAnsi="Times New Roman"/>
        </w:rPr>
        <w:t xml:space="preserve"> of poverty and food insecurity. </w:t>
      </w:r>
      <w:r w:rsidR="008A12AF" w:rsidRPr="00923DD7">
        <w:rPr>
          <w:rFonts w:ascii="Times New Roman" w:hAnsi="Times New Roman"/>
        </w:rPr>
        <w:t>P</w:t>
      </w:r>
      <w:r w:rsidR="006C424A" w:rsidRPr="00923DD7">
        <w:rPr>
          <w:rFonts w:ascii="Times New Roman" w:hAnsi="Times New Roman"/>
        </w:rPr>
        <w:t xml:space="preserve">oor communities lack resources to cope with the causes of land </w:t>
      </w:r>
      <w:r w:rsidR="008A12AF" w:rsidRPr="00923DD7">
        <w:rPr>
          <w:rFonts w:ascii="Times New Roman" w:hAnsi="Times New Roman"/>
        </w:rPr>
        <w:t>degradation</w:t>
      </w:r>
      <w:r w:rsidR="006C424A" w:rsidRPr="00923DD7">
        <w:rPr>
          <w:rFonts w:ascii="Times New Roman" w:hAnsi="Times New Roman"/>
        </w:rPr>
        <w:t xml:space="preserve"> </w:t>
      </w:r>
      <w:r w:rsidR="008A12AF" w:rsidRPr="00923DD7">
        <w:rPr>
          <w:rFonts w:ascii="Times New Roman" w:hAnsi="Times New Roman"/>
        </w:rPr>
        <w:t>caused</w:t>
      </w:r>
      <w:r w:rsidR="006C424A" w:rsidRPr="00923DD7">
        <w:rPr>
          <w:rFonts w:ascii="Times New Roman" w:hAnsi="Times New Roman"/>
        </w:rPr>
        <w:t xml:space="preserve"> by </w:t>
      </w:r>
      <w:r w:rsidR="008A12AF" w:rsidRPr="00923DD7">
        <w:rPr>
          <w:rFonts w:ascii="Times New Roman" w:hAnsi="Times New Roman"/>
        </w:rPr>
        <w:t>climate change,</w:t>
      </w:r>
      <w:r w:rsidR="006C424A" w:rsidRPr="00923DD7">
        <w:rPr>
          <w:rFonts w:ascii="Times New Roman" w:hAnsi="Times New Roman"/>
        </w:rPr>
        <w:t xml:space="preserve"> and over-exploitation of land and water</w:t>
      </w:r>
      <w:r w:rsidR="008A12AF" w:rsidRPr="00923DD7">
        <w:rPr>
          <w:rFonts w:ascii="Times New Roman" w:hAnsi="Times New Roman"/>
        </w:rPr>
        <w:t xml:space="preserve"> for short-term gains. This is further exacerbated by lack of education around successful land management practices, reinforcing a negative feedback loop by leading to further land degradation and food insecurity.</w:t>
      </w:r>
    </w:p>
    <w:p w:rsidR="00A02432" w:rsidRPr="00923DD7" w:rsidRDefault="008A12AF" w:rsidP="00923DD7">
      <w:pPr>
        <w:spacing w:after="120" w:line="240" w:lineRule="auto"/>
        <w:ind w:firstLine="720"/>
        <w:rPr>
          <w:rFonts w:ascii="Times New Roman" w:hAnsi="Times New Roman"/>
        </w:rPr>
      </w:pPr>
      <w:r w:rsidRPr="00923DD7">
        <w:rPr>
          <w:rFonts w:ascii="Times New Roman" w:hAnsi="Times New Roman"/>
        </w:rPr>
        <w:t xml:space="preserve"> </w:t>
      </w:r>
      <w:r w:rsidR="00A02432" w:rsidRPr="00923DD7">
        <w:rPr>
          <w:rFonts w:ascii="Times New Roman" w:hAnsi="Times New Roman"/>
        </w:rPr>
        <w:t xml:space="preserve">An ecosystems and landscapes approach to the interlinkages between the </w:t>
      </w:r>
      <w:r w:rsidR="0090124E" w:rsidRPr="00923DD7">
        <w:rPr>
          <w:rFonts w:ascii="Times New Roman" w:hAnsi="Times New Roman"/>
        </w:rPr>
        <w:t>relevant SDGs and SDG15 e</w:t>
      </w:r>
      <w:r w:rsidR="00A02432" w:rsidRPr="00923DD7">
        <w:rPr>
          <w:rFonts w:ascii="Times New Roman" w:hAnsi="Times New Roman"/>
        </w:rPr>
        <w:t>nable</w:t>
      </w:r>
      <w:r w:rsidR="0090124E" w:rsidRPr="00923DD7">
        <w:rPr>
          <w:rFonts w:ascii="Times New Roman" w:hAnsi="Times New Roman"/>
        </w:rPr>
        <w:t>s</w:t>
      </w:r>
      <w:r w:rsidR="00A02432" w:rsidRPr="00923DD7">
        <w:rPr>
          <w:rFonts w:ascii="Times New Roman" w:hAnsi="Times New Roman"/>
        </w:rPr>
        <w:t xml:space="preserve"> a better understanding and inclusion of the true valuation of nature when poli</w:t>
      </w:r>
      <w:r w:rsidR="00413BC2" w:rsidRPr="00923DD7">
        <w:rPr>
          <w:rFonts w:ascii="Times New Roman" w:hAnsi="Times New Roman"/>
        </w:rPr>
        <w:t>cy is being made. Ecosystems,</w:t>
      </w:r>
      <w:r w:rsidR="00A02432" w:rsidRPr="00923DD7">
        <w:rPr>
          <w:rFonts w:ascii="Times New Roman" w:hAnsi="Times New Roman"/>
        </w:rPr>
        <w:t xml:space="preserve"> land</w:t>
      </w:r>
      <w:r w:rsidR="00413BC2" w:rsidRPr="00923DD7">
        <w:rPr>
          <w:rFonts w:ascii="Times New Roman" w:hAnsi="Times New Roman"/>
        </w:rPr>
        <w:t xml:space="preserve"> and proper care for working animals</w:t>
      </w:r>
      <w:r w:rsidR="00A02432" w:rsidRPr="00923DD7">
        <w:rPr>
          <w:rFonts w:ascii="Times New Roman" w:hAnsi="Times New Roman"/>
        </w:rPr>
        <w:t xml:space="preserve"> provide the foundation for sustainable agriculture and development addressing water security, energy provisi</w:t>
      </w:r>
      <w:r w:rsidR="0090124E" w:rsidRPr="00923DD7">
        <w:rPr>
          <w:rFonts w:ascii="Times New Roman" w:hAnsi="Times New Roman"/>
        </w:rPr>
        <w:t>on and good health. Initiative such as</w:t>
      </w:r>
      <w:r w:rsidR="005934EB" w:rsidRPr="00923DD7">
        <w:rPr>
          <w:rFonts w:ascii="Times New Roman" w:hAnsi="Times New Roman"/>
        </w:rPr>
        <w:t xml:space="preserve"> “4/1000 Initiative: Soils for Food Security and Climate” </w:t>
      </w:r>
      <w:r w:rsidR="00A02432" w:rsidRPr="00923DD7">
        <w:rPr>
          <w:rFonts w:ascii="Times New Roman" w:hAnsi="Times New Roman"/>
        </w:rPr>
        <w:t>launched at in P</w:t>
      </w:r>
      <w:r w:rsidR="0090124E" w:rsidRPr="00923DD7">
        <w:rPr>
          <w:rFonts w:ascii="Times New Roman" w:hAnsi="Times New Roman"/>
        </w:rPr>
        <w:t xml:space="preserve">aris at the Climate COP21 among others, </w:t>
      </w:r>
      <w:r w:rsidR="00A02432" w:rsidRPr="00923DD7">
        <w:rPr>
          <w:rFonts w:ascii="Times New Roman" w:hAnsi="Times New Roman"/>
        </w:rPr>
        <w:t>demonstrate that agriculture, and in particular agricultural soils can play a crucial r</w:t>
      </w:r>
      <w:r w:rsidR="00FF2770" w:rsidRPr="00923DD7">
        <w:rPr>
          <w:rFonts w:ascii="Times New Roman" w:hAnsi="Times New Roman"/>
        </w:rPr>
        <w:t>ole in fighting</w:t>
      </w:r>
      <w:r w:rsidR="00A02432" w:rsidRPr="00923DD7">
        <w:rPr>
          <w:rFonts w:ascii="Times New Roman" w:hAnsi="Times New Roman"/>
        </w:rPr>
        <w:t xml:space="preserve"> food </w:t>
      </w:r>
      <w:r w:rsidR="00FF2770" w:rsidRPr="00923DD7">
        <w:rPr>
          <w:rFonts w:ascii="Times New Roman" w:hAnsi="Times New Roman"/>
        </w:rPr>
        <w:t>in</w:t>
      </w:r>
      <w:r w:rsidR="00A02432" w:rsidRPr="00923DD7">
        <w:rPr>
          <w:rFonts w:ascii="Times New Roman" w:hAnsi="Times New Roman"/>
        </w:rPr>
        <w:t>security</w:t>
      </w:r>
      <w:r w:rsidR="00FF2770" w:rsidRPr="00923DD7">
        <w:rPr>
          <w:rFonts w:ascii="Times New Roman" w:hAnsi="Times New Roman"/>
        </w:rPr>
        <w:t xml:space="preserve"> and climate change</w:t>
      </w:r>
      <w:r w:rsidRPr="00923DD7">
        <w:rPr>
          <w:rFonts w:ascii="Times New Roman" w:hAnsi="Times New Roman"/>
        </w:rPr>
        <w:t>.</w:t>
      </w:r>
    </w:p>
    <w:p w:rsidR="00CF1E65" w:rsidRPr="00923DD7" w:rsidRDefault="0090124E" w:rsidP="00923DD7">
      <w:pPr>
        <w:spacing w:after="480" w:line="240" w:lineRule="auto"/>
        <w:ind w:firstLine="720"/>
        <w:rPr>
          <w:rFonts w:ascii="Times New Roman" w:hAnsi="Times New Roman"/>
          <w:shd w:val="clear" w:color="auto" w:fill="FFFFFF"/>
        </w:rPr>
      </w:pPr>
      <w:r w:rsidRPr="00923DD7">
        <w:rPr>
          <w:rFonts w:ascii="Times New Roman" w:hAnsi="Times New Roman"/>
          <w:shd w:val="clear" w:color="auto" w:fill="FFFFFF"/>
        </w:rPr>
        <w:lastRenderedPageBreak/>
        <w:t>The United Nations Convention to Combat Desertification (UNCCD) will focus on target 15.3 o</w:t>
      </w:r>
      <w:r w:rsidR="00CF1E65" w:rsidRPr="00923DD7">
        <w:rPr>
          <w:rFonts w:ascii="Times New Roman" w:hAnsi="Times New Roman"/>
          <w:shd w:val="clear" w:color="auto" w:fill="FFFFFF"/>
        </w:rPr>
        <w:t xml:space="preserve">n Land Degradation Neutrality. </w:t>
      </w:r>
      <w:r w:rsidRPr="00923DD7">
        <w:rPr>
          <w:rFonts w:ascii="Times New Roman" w:hAnsi="Times New Roman"/>
          <w:shd w:val="clear" w:color="auto" w:fill="FFFFFF"/>
        </w:rPr>
        <w:t>Currently 115 countries have committed to set LDN targets to better conserve and manage land and rehabilitate degraded terrestrial ecosystems. The SDG target of Land Degradation Neutrality is now a critical objective for UNCCD in its strategic framework for na</w:t>
      </w:r>
      <w:r w:rsidR="00CF1E65" w:rsidRPr="00923DD7">
        <w:rPr>
          <w:rFonts w:ascii="Times New Roman" w:hAnsi="Times New Roman"/>
          <w:shd w:val="clear" w:color="auto" w:fill="FFFFFF"/>
        </w:rPr>
        <w:t>tional implementation to 2030. </w:t>
      </w:r>
    </w:p>
    <w:p w:rsidR="00A02432" w:rsidRPr="00923DD7" w:rsidRDefault="0090124E" w:rsidP="00923DD7">
      <w:pPr>
        <w:spacing w:after="480" w:line="240" w:lineRule="auto"/>
        <w:ind w:firstLine="720"/>
        <w:rPr>
          <w:rFonts w:ascii="Times New Roman" w:hAnsi="Times New Roman"/>
          <w:shd w:val="clear" w:color="auto" w:fill="FFFFFF"/>
        </w:rPr>
      </w:pPr>
      <w:r w:rsidRPr="00923DD7">
        <w:rPr>
          <w:rFonts w:ascii="Times New Roman" w:hAnsi="Times New Roman"/>
        </w:rPr>
        <w:t>There are 23 SDG T</w:t>
      </w:r>
      <w:r w:rsidR="00A02432" w:rsidRPr="00923DD7">
        <w:rPr>
          <w:rFonts w:ascii="Times New Roman" w:hAnsi="Times New Roman"/>
        </w:rPr>
        <w:t>ar</w:t>
      </w:r>
      <w:r w:rsidRPr="00923DD7">
        <w:rPr>
          <w:rFonts w:ascii="Times New Roman" w:hAnsi="Times New Roman"/>
        </w:rPr>
        <w:t>gets that fall in 2020 or 2025. T</w:t>
      </w:r>
      <w:r w:rsidR="00A02432" w:rsidRPr="00923DD7">
        <w:rPr>
          <w:rFonts w:ascii="Times New Roman" w:hAnsi="Times New Roman"/>
        </w:rPr>
        <w:t>his includes one in SDG 6, one in SDG 11, one in SDG 12 and five in SDG 15. This requires a coherent approach by Member States on how these might be reviewed. There is a danger that without a coherent approach to all these targets there m</w:t>
      </w:r>
      <w:r w:rsidRPr="00923DD7">
        <w:rPr>
          <w:rFonts w:ascii="Times New Roman" w:hAnsi="Times New Roman"/>
        </w:rPr>
        <w:t xml:space="preserve">ay be two classes of targets, some being among the </w:t>
      </w:r>
      <w:r w:rsidR="00A02432" w:rsidRPr="00923DD7">
        <w:rPr>
          <w:rFonts w:ascii="Times New Roman" w:hAnsi="Times New Roman"/>
        </w:rPr>
        <w:t>SDGs and other</w:t>
      </w:r>
      <w:r w:rsidRPr="00923DD7">
        <w:rPr>
          <w:rFonts w:ascii="Times New Roman" w:hAnsi="Times New Roman"/>
        </w:rPr>
        <w:t>s</w:t>
      </w:r>
      <w:r w:rsidR="00A02432" w:rsidRPr="00923DD7">
        <w:rPr>
          <w:rFonts w:ascii="Times New Roman" w:hAnsi="Times New Roman"/>
        </w:rPr>
        <w:t xml:space="preserve"> outside. This year the Convention on Biological Diversity will start the process to set new 2030 targets as will the SAICM process for the SDG 12 target. These will not be SDG targets.  </w:t>
      </w:r>
    </w:p>
    <w:p w:rsidR="00A02432" w:rsidRPr="00923DD7" w:rsidRDefault="00A02432" w:rsidP="00923DD7">
      <w:pPr>
        <w:pStyle w:val="Heading3"/>
        <w:numPr>
          <w:ilvl w:val="0"/>
          <w:numId w:val="2"/>
        </w:numPr>
        <w:spacing w:after="280" w:line="240" w:lineRule="auto"/>
        <w:ind w:left="714" w:hanging="357"/>
        <w:rPr>
          <w:rFonts w:cs="Times New Roman"/>
          <w:b/>
          <w:sz w:val="22"/>
          <w:szCs w:val="22"/>
        </w:rPr>
      </w:pPr>
      <w:bookmarkStart w:id="37" w:name="_Toc512269703"/>
      <w:r w:rsidRPr="00923DD7">
        <w:rPr>
          <w:rFonts w:cs="Times New Roman"/>
          <w:b/>
          <w:sz w:val="22"/>
          <w:szCs w:val="22"/>
        </w:rPr>
        <w:t>STRENGTHEN THE MEANS OF IMPLEMENTATION AND REVITALIZE THE GLOBAL PARTNERSHIP FOR SUSTAINABLE DEVELOPMENT</w:t>
      </w:r>
      <w:bookmarkEnd w:id="37"/>
    </w:p>
    <w:p w:rsidR="00CA5467" w:rsidRPr="00923DD7" w:rsidRDefault="00CA5467" w:rsidP="00923DD7">
      <w:pPr>
        <w:pStyle w:val="Heading4"/>
        <w:numPr>
          <w:ilvl w:val="1"/>
          <w:numId w:val="2"/>
        </w:numPr>
        <w:spacing w:after="120" w:line="240" w:lineRule="auto"/>
        <w:ind w:left="714" w:hanging="357"/>
        <w:rPr>
          <w:rFonts w:eastAsia="Times New Roman" w:cs="Times New Roman"/>
          <w:sz w:val="22"/>
        </w:rPr>
      </w:pPr>
      <w:bookmarkStart w:id="38" w:name="_Toc512269704"/>
      <w:bookmarkStart w:id="39" w:name="_Hlk506385044"/>
      <w:r w:rsidRPr="00923DD7">
        <w:rPr>
          <w:rFonts w:eastAsia="Times New Roman" w:cs="Times New Roman"/>
          <w:sz w:val="22"/>
        </w:rPr>
        <w:t>Policy coherence</w:t>
      </w:r>
      <w:bookmarkEnd w:id="38"/>
    </w:p>
    <w:p w:rsidR="00CA5467" w:rsidRPr="00923DD7" w:rsidRDefault="00CA5467" w:rsidP="00923DD7">
      <w:pPr>
        <w:spacing w:after="120" w:line="240" w:lineRule="auto"/>
        <w:ind w:firstLine="720"/>
        <w:rPr>
          <w:rFonts w:ascii="Times New Roman" w:hAnsi="Times New Roman"/>
        </w:rPr>
      </w:pPr>
      <w:r w:rsidRPr="00923DD7">
        <w:rPr>
          <w:rFonts w:ascii="Times New Roman" w:hAnsi="Times New Roman"/>
        </w:rPr>
        <w:t>Policy coherence between levels (e.g. national to subnational to local) and among agencies (e.g. water and agriculture ministries) of government is important</w:t>
      </w:r>
      <w:r w:rsidR="00CF1E65" w:rsidRPr="00923DD7">
        <w:rPr>
          <w:rFonts w:ascii="Times New Roman" w:hAnsi="Times New Roman"/>
        </w:rPr>
        <w:t xml:space="preserve"> </w:t>
      </w:r>
      <w:r w:rsidR="00C025A0" w:rsidRPr="00923DD7">
        <w:rPr>
          <w:rFonts w:ascii="Times New Roman" w:hAnsi="Times New Roman"/>
        </w:rPr>
        <w:t>to facilitate the implementation of the SDGs and address the challenges they present</w:t>
      </w:r>
      <w:r w:rsidRPr="00923DD7">
        <w:rPr>
          <w:rFonts w:ascii="Times New Roman" w:hAnsi="Times New Roman"/>
        </w:rPr>
        <w:t>. Approaches that could be considered include: mandatory multi-agency task forces or collaborative work groups focused on Sustainable Development policy coherence; national and subnational government participation in and/or convening of subnational, watershed, or integrated landscape management platforms; outcome-based rather than prescriptive-practice regulatory policies that facilitate</w:t>
      </w:r>
      <w:r w:rsidR="005934EB" w:rsidRPr="00923DD7">
        <w:rPr>
          <w:rFonts w:ascii="Times New Roman" w:hAnsi="Times New Roman"/>
        </w:rPr>
        <w:t xml:space="preserve"> coherence</w:t>
      </w:r>
      <w:r w:rsidR="003E4D33" w:rsidRPr="00923DD7">
        <w:rPr>
          <w:rFonts w:ascii="Times New Roman" w:hAnsi="Times New Roman"/>
        </w:rPr>
        <w:t>.</w:t>
      </w:r>
    </w:p>
    <w:p w:rsidR="00743B70" w:rsidRPr="00923DD7" w:rsidRDefault="00743B70" w:rsidP="00923DD7">
      <w:pPr>
        <w:shd w:val="clear" w:color="auto" w:fill="FFFFFF"/>
        <w:spacing w:after="120" w:line="240" w:lineRule="auto"/>
        <w:ind w:firstLine="720"/>
        <w:rPr>
          <w:rFonts w:ascii="Times New Roman" w:eastAsia="Times New Roman" w:hAnsi="Times New Roman"/>
          <w:color w:val="222222"/>
          <w:lang w:val="en-CA" w:eastAsia="en-CA"/>
        </w:rPr>
      </w:pPr>
      <w:r w:rsidRPr="00923DD7">
        <w:rPr>
          <w:rFonts w:ascii="Times New Roman" w:eastAsia="Times New Roman" w:hAnsi="Times New Roman"/>
          <w:color w:val="222222"/>
          <w:lang w:val="en-CA" w:eastAsia="en-CA"/>
        </w:rPr>
        <w:t xml:space="preserve">The UNDP’s MAPS (Mainstreaming, Acceleration and Policy Support) approach can </w:t>
      </w:r>
      <w:r w:rsidR="00CF1E65" w:rsidRPr="00923DD7">
        <w:rPr>
          <w:rFonts w:ascii="Times New Roman" w:eastAsia="Times New Roman" w:hAnsi="Times New Roman"/>
          <w:color w:val="222222"/>
          <w:lang w:val="en-CA" w:eastAsia="en-CA"/>
        </w:rPr>
        <w:t xml:space="preserve">also </w:t>
      </w:r>
      <w:r w:rsidRPr="00923DD7">
        <w:rPr>
          <w:rFonts w:ascii="Times New Roman" w:eastAsia="Times New Roman" w:hAnsi="Times New Roman"/>
          <w:color w:val="222222"/>
          <w:lang w:val="en-CA" w:eastAsia="en-CA"/>
        </w:rPr>
        <w:t>help countries to develop coherent polices for the implementation of the SGDs. MAPS seek to support countries with not only linking the SDGs agenda to national, sub-national and sectoral levels, but also helps to identify the key “accelerators” along a suite of catalytic interventions designed to yield multiple dividends across goals and targets.</w:t>
      </w:r>
    </w:p>
    <w:p w:rsidR="00743B70" w:rsidRPr="00923DD7" w:rsidRDefault="00743B70" w:rsidP="00923DD7">
      <w:pPr>
        <w:spacing w:after="120" w:line="240" w:lineRule="auto"/>
        <w:ind w:firstLine="720"/>
        <w:rPr>
          <w:rFonts w:ascii="Times New Roman" w:hAnsi="Times New Roman"/>
        </w:rPr>
      </w:pPr>
    </w:p>
    <w:p w:rsidR="00A02432" w:rsidRPr="00923DD7" w:rsidRDefault="00CA5467" w:rsidP="00923DD7">
      <w:pPr>
        <w:pStyle w:val="Heading4"/>
        <w:numPr>
          <w:ilvl w:val="1"/>
          <w:numId w:val="2"/>
        </w:numPr>
        <w:spacing w:after="120" w:line="240" w:lineRule="auto"/>
        <w:ind w:left="714" w:hanging="357"/>
        <w:rPr>
          <w:rFonts w:eastAsia="Times New Roman" w:cs="Times New Roman"/>
          <w:sz w:val="22"/>
        </w:rPr>
      </w:pPr>
      <w:bookmarkStart w:id="40" w:name="_Toc512269705"/>
      <w:bookmarkStart w:id="41" w:name="_Hlk506385007"/>
      <w:r w:rsidRPr="00923DD7">
        <w:rPr>
          <w:rFonts w:eastAsia="Times New Roman" w:cs="Times New Roman"/>
          <w:sz w:val="22"/>
        </w:rPr>
        <w:t>Governance structures and processes at the Regional, National, Subnational and local level as well as multi-level governance approache</w:t>
      </w:r>
      <w:r w:rsidR="007A571E" w:rsidRPr="00923DD7">
        <w:rPr>
          <w:rFonts w:eastAsia="Times New Roman" w:cs="Times New Roman"/>
          <w:sz w:val="22"/>
        </w:rPr>
        <w:t>s. Governance is crucial</w:t>
      </w:r>
      <w:r w:rsidRPr="00923DD7">
        <w:rPr>
          <w:rFonts w:eastAsia="Times New Roman" w:cs="Times New Roman"/>
          <w:sz w:val="22"/>
        </w:rPr>
        <w:t xml:space="preserve"> when addressing the individual SDGs and their interlinkages.</w:t>
      </w:r>
      <w:bookmarkEnd w:id="40"/>
      <w:r w:rsidRPr="00923DD7">
        <w:rPr>
          <w:rFonts w:eastAsia="Times New Roman" w:cs="Times New Roman"/>
          <w:sz w:val="22"/>
        </w:rPr>
        <w:t xml:space="preserve"> </w:t>
      </w:r>
      <w:bookmarkEnd w:id="39"/>
      <w:bookmarkEnd w:id="41"/>
    </w:p>
    <w:p w:rsidR="00CA5467" w:rsidRPr="00923DD7" w:rsidRDefault="00CA5467" w:rsidP="00923DD7">
      <w:pPr>
        <w:spacing w:after="120" w:line="240" w:lineRule="auto"/>
        <w:ind w:firstLine="720"/>
        <w:rPr>
          <w:rFonts w:ascii="Times New Roman" w:hAnsi="Times New Roman"/>
        </w:rPr>
      </w:pPr>
      <w:r w:rsidRPr="00923DD7">
        <w:rPr>
          <w:rFonts w:ascii="Times New Roman" w:hAnsi="Times New Roman"/>
        </w:rPr>
        <w:t xml:space="preserve">At the Regional level the UN Regional Commissions and Regional Multilateral Agreements secretariats need to be strengthened to address transboundary Nexus related issues. </w:t>
      </w:r>
      <w:r w:rsidR="00C025A0" w:rsidRPr="00923DD7">
        <w:rPr>
          <w:rFonts w:ascii="Times New Roman" w:hAnsi="Times New Roman"/>
        </w:rPr>
        <w:t>This will be essential in addressing issues such as water, energy, food and cl</w:t>
      </w:r>
      <w:r w:rsidR="00CF1E65" w:rsidRPr="00923DD7">
        <w:rPr>
          <w:rFonts w:ascii="Times New Roman" w:hAnsi="Times New Roman"/>
        </w:rPr>
        <w:t xml:space="preserve">imate as </w:t>
      </w:r>
      <w:r w:rsidR="00C025A0" w:rsidRPr="00923DD7">
        <w:rPr>
          <w:rFonts w:ascii="Times New Roman" w:hAnsi="Times New Roman"/>
        </w:rPr>
        <w:t>the</w:t>
      </w:r>
      <w:r w:rsidR="00CF1E65" w:rsidRPr="00923DD7">
        <w:rPr>
          <w:rFonts w:ascii="Times New Roman" w:hAnsi="Times New Roman"/>
        </w:rPr>
        <w:t>y</w:t>
      </w:r>
      <w:r w:rsidR="00DE0B99" w:rsidRPr="00923DD7">
        <w:rPr>
          <w:rFonts w:ascii="Times New Roman" w:hAnsi="Times New Roman"/>
        </w:rPr>
        <w:t xml:space="preserve"> are n</w:t>
      </w:r>
      <w:r w:rsidR="00CF1E65" w:rsidRPr="00923DD7">
        <w:rPr>
          <w:rFonts w:ascii="Times New Roman" w:hAnsi="Times New Roman"/>
        </w:rPr>
        <w:t xml:space="preserve">ot restricted to national boundaries, but rather they often </w:t>
      </w:r>
      <w:r w:rsidR="00DE0B99" w:rsidRPr="00923DD7">
        <w:rPr>
          <w:rFonts w:ascii="Times New Roman" w:hAnsi="Times New Roman"/>
        </w:rPr>
        <w:t xml:space="preserve">pertain to a global ecological systems processes. Thus, the </w:t>
      </w:r>
      <w:r w:rsidR="00D365BF" w:rsidRPr="00923DD7">
        <w:rPr>
          <w:rFonts w:ascii="Times New Roman" w:hAnsi="Times New Roman"/>
        </w:rPr>
        <w:t xml:space="preserve">actions </w:t>
      </w:r>
      <w:r w:rsidR="00DE0B99" w:rsidRPr="00923DD7">
        <w:rPr>
          <w:rFonts w:ascii="Times New Roman" w:hAnsi="Times New Roman"/>
        </w:rPr>
        <w:t xml:space="preserve">or inactions </w:t>
      </w:r>
      <w:r w:rsidR="00D365BF" w:rsidRPr="00923DD7">
        <w:rPr>
          <w:rFonts w:ascii="Times New Roman" w:hAnsi="Times New Roman"/>
        </w:rPr>
        <w:t xml:space="preserve">of one nation can impact </w:t>
      </w:r>
      <w:r w:rsidR="00DE0B99" w:rsidRPr="00923DD7">
        <w:rPr>
          <w:rFonts w:ascii="Times New Roman" w:hAnsi="Times New Roman"/>
        </w:rPr>
        <w:t>other nations capacity for sustainable development</w:t>
      </w:r>
      <w:r w:rsidR="00D365BF" w:rsidRPr="00923DD7">
        <w:rPr>
          <w:rFonts w:ascii="Times New Roman" w:hAnsi="Times New Roman"/>
        </w:rPr>
        <w:t xml:space="preserve">. </w:t>
      </w:r>
      <w:r w:rsidR="00DE0B99" w:rsidRPr="00923DD7">
        <w:rPr>
          <w:rFonts w:ascii="Times New Roman" w:hAnsi="Times New Roman"/>
        </w:rPr>
        <w:t>For this reason</w:t>
      </w:r>
      <w:r w:rsidR="00C025A0" w:rsidRPr="00923DD7">
        <w:rPr>
          <w:rFonts w:ascii="Times New Roman" w:hAnsi="Times New Roman"/>
        </w:rPr>
        <w:t>,</w:t>
      </w:r>
      <w:r w:rsidR="00DE0B99" w:rsidRPr="00923DD7">
        <w:rPr>
          <w:rFonts w:ascii="Times New Roman" w:hAnsi="Times New Roman"/>
        </w:rPr>
        <w:t xml:space="preserve"> a Nexus approach can provide insight to instigate</w:t>
      </w:r>
      <w:r w:rsidR="00C025A0" w:rsidRPr="00923DD7">
        <w:rPr>
          <w:rFonts w:ascii="Times New Roman" w:hAnsi="Times New Roman"/>
        </w:rPr>
        <w:t xml:space="preserve"> cooperation among nations and regions </w:t>
      </w:r>
      <w:r w:rsidR="00DE0B99" w:rsidRPr="00923DD7">
        <w:rPr>
          <w:rFonts w:ascii="Times New Roman" w:hAnsi="Times New Roman"/>
        </w:rPr>
        <w:t xml:space="preserve">that will </w:t>
      </w:r>
      <w:r w:rsidR="00C025A0" w:rsidRPr="00923DD7">
        <w:rPr>
          <w:rFonts w:ascii="Times New Roman" w:hAnsi="Times New Roman"/>
        </w:rPr>
        <w:t>be crucial in addressing</w:t>
      </w:r>
      <w:r w:rsidR="00DE0B99" w:rsidRPr="00923DD7">
        <w:rPr>
          <w:rFonts w:ascii="Times New Roman" w:hAnsi="Times New Roman"/>
        </w:rPr>
        <w:t xml:space="preserve"> the SDGs</w:t>
      </w:r>
      <w:r w:rsidR="00C025A0" w:rsidRPr="00923DD7">
        <w:rPr>
          <w:rFonts w:ascii="Times New Roman" w:hAnsi="Times New Roman"/>
        </w:rPr>
        <w:t xml:space="preserve">. </w:t>
      </w:r>
    </w:p>
    <w:p w:rsidR="00D365BF" w:rsidRPr="00923DD7" w:rsidRDefault="00DE0B99" w:rsidP="00923DD7">
      <w:pPr>
        <w:spacing w:after="120" w:line="240" w:lineRule="auto"/>
        <w:ind w:firstLine="720"/>
        <w:rPr>
          <w:rFonts w:ascii="Times New Roman" w:hAnsi="Times New Roman"/>
        </w:rPr>
      </w:pPr>
      <w:r w:rsidRPr="00923DD7">
        <w:rPr>
          <w:rFonts w:ascii="Times New Roman" w:hAnsi="Times New Roman"/>
        </w:rPr>
        <w:t>Implementation of the Agenda necessitates the creation of appropriate mechanisms to facilitate coordination among various levels of government and thus requires a</w:t>
      </w:r>
      <w:r w:rsidR="00D365BF" w:rsidRPr="00923DD7">
        <w:rPr>
          <w:rFonts w:ascii="Times New Roman" w:hAnsi="Times New Roman"/>
        </w:rPr>
        <w:t xml:space="preserve"> multilevel perspective. The intern</w:t>
      </w:r>
      <w:r w:rsidR="00CF1E65" w:rsidRPr="00923DD7">
        <w:rPr>
          <w:rFonts w:ascii="Times New Roman" w:hAnsi="Times New Roman"/>
        </w:rPr>
        <w:t>ational community, S</w:t>
      </w:r>
      <w:r w:rsidR="00D365BF" w:rsidRPr="00923DD7">
        <w:rPr>
          <w:rFonts w:ascii="Times New Roman" w:hAnsi="Times New Roman"/>
        </w:rPr>
        <w:t>tates,</w:t>
      </w:r>
      <w:r w:rsidR="00CF1E65" w:rsidRPr="00923DD7">
        <w:rPr>
          <w:rFonts w:ascii="Times New Roman" w:hAnsi="Times New Roman"/>
        </w:rPr>
        <w:t xml:space="preserve"> nations,</w:t>
      </w:r>
      <w:r w:rsidR="00D365BF" w:rsidRPr="00923DD7">
        <w:rPr>
          <w:rFonts w:ascii="Times New Roman" w:hAnsi="Times New Roman"/>
        </w:rPr>
        <w:t xml:space="preserve"> local government and stakeholders all should work together in order to </w:t>
      </w:r>
      <w:r w:rsidRPr="00923DD7">
        <w:rPr>
          <w:rFonts w:ascii="Times New Roman" w:hAnsi="Times New Roman"/>
        </w:rPr>
        <w:t xml:space="preserve">identify and </w:t>
      </w:r>
      <w:r w:rsidR="00D365BF" w:rsidRPr="00923DD7">
        <w:rPr>
          <w:rFonts w:ascii="Times New Roman" w:hAnsi="Times New Roman"/>
        </w:rPr>
        <w:t xml:space="preserve">address development </w:t>
      </w:r>
      <w:r w:rsidRPr="00923DD7">
        <w:rPr>
          <w:rFonts w:ascii="Times New Roman" w:hAnsi="Times New Roman"/>
        </w:rPr>
        <w:t>challenges</w:t>
      </w:r>
      <w:r w:rsidR="00D365BF" w:rsidRPr="00923DD7">
        <w:rPr>
          <w:rFonts w:ascii="Times New Roman" w:hAnsi="Times New Roman"/>
        </w:rPr>
        <w:t xml:space="preserve"> at the appropriate level. </w:t>
      </w:r>
    </w:p>
    <w:p w:rsidR="00CA5467" w:rsidRPr="00923DD7" w:rsidRDefault="00CA5467" w:rsidP="00923DD7">
      <w:pPr>
        <w:spacing w:after="120" w:line="240" w:lineRule="auto"/>
        <w:ind w:firstLine="720"/>
        <w:rPr>
          <w:rFonts w:ascii="Times New Roman" w:hAnsi="Times New Roman"/>
        </w:rPr>
      </w:pPr>
      <w:r w:rsidRPr="00923DD7">
        <w:rPr>
          <w:rFonts w:ascii="Times New Roman" w:hAnsi="Times New Roman"/>
        </w:rPr>
        <w:t xml:space="preserve">Parliaments can use their parliamentary committee structures to work together to ensure coherence. Meetings of different parliamentary committees together should be explored as a way of </w:t>
      </w:r>
      <w:r w:rsidRPr="00923DD7">
        <w:rPr>
          <w:rFonts w:ascii="Times New Roman" w:hAnsi="Times New Roman"/>
        </w:rPr>
        <w:lastRenderedPageBreak/>
        <w:t xml:space="preserve">ensuring that they are addressing Nexus related issues. </w:t>
      </w:r>
      <w:r w:rsidR="00CF1E65" w:rsidRPr="00923DD7">
        <w:rPr>
          <w:rFonts w:ascii="Times New Roman" w:hAnsi="Times New Roman"/>
        </w:rPr>
        <w:t>C</w:t>
      </w:r>
      <w:r w:rsidR="00DE0B99" w:rsidRPr="00923DD7">
        <w:rPr>
          <w:rFonts w:ascii="Times New Roman" w:hAnsi="Times New Roman"/>
        </w:rPr>
        <w:t xml:space="preserve">ountries </w:t>
      </w:r>
      <w:r w:rsidR="00CF1E65" w:rsidRPr="00923DD7">
        <w:rPr>
          <w:rFonts w:ascii="Times New Roman" w:hAnsi="Times New Roman"/>
        </w:rPr>
        <w:t>organized</w:t>
      </w:r>
      <w:r w:rsidR="00DE0B99" w:rsidRPr="00923DD7">
        <w:rPr>
          <w:rFonts w:ascii="Times New Roman" w:hAnsi="Times New Roman"/>
        </w:rPr>
        <w:t xml:space="preserve"> u</w:t>
      </w:r>
      <w:r w:rsidR="00CF1E65" w:rsidRPr="00923DD7">
        <w:rPr>
          <w:rFonts w:ascii="Times New Roman" w:hAnsi="Times New Roman"/>
        </w:rPr>
        <w:t>nder other</w:t>
      </w:r>
      <w:r w:rsidR="00DE0B99" w:rsidRPr="00923DD7">
        <w:rPr>
          <w:rFonts w:ascii="Times New Roman" w:hAnsi="Times New Roman"/>
        </w:rPr>
        <w:t xml:space="preserve"> systems of government should </w:t>
      </w:r>
      <w:r w:rsidR="00F670C0" w:rsidRPr="00923DD7">
        <w:rPr>
          <w:rFonts w:ascii="Times New Roman" w:hAnsi="Times New Roman"/>
        </w:rPr>
        <w:t>find ways in which their current structures could facilitate cross-departmental communication so as to increase the amount of information and tools share across different silos while maintaining their disciplinary value, and building co-operative relationships between different levels of government.</w:t>
      </w:r>
    </w:p>
    <w:p w:rsidR="00CA5467" w:rsidRPr="00923DD7" w:rsidRDefault="00CA5467" w:rsidP="00923DD7">
      <w:pPr>
        <w:spacing w:after="120" w:line="240" w:lineRule="auto"/>
        <w:ind w:firstLine="720"/>
        <w:rPr>
          <w:rFonts w:ascii="Times New Roman" w:hAnsi="Times New Roman"/>
        </w:rPr>
      </w:pPr>
      <w:r w:rsidRPr="00923DD7">
        <w:rPr>
          <w:rFonts w:ascii="Times New Roman" w:hAnsi="Times New Roman"/>
        </w:rPr>
        <w:t>At all levels of government there are key ways that could enable more integrated approaches. These could include:</w:t>
      </w:r>
    </w:p>
    <w:p w:rsidR="00CA5467" w:rsidRPr="00923DD7" w:rsidRDefault="00CA5467" w:rsidP="00923DD7">
      <w:pPr>
        <w:numPr>
          <w:ilvl w:val="0"/>
          <w:numId w:val="6"/>
        </w:numPr>
        <w:spacing w:after="120" w:line="240" w:lineRule="auto"/>
        <w:ind w:left="709" w:hanging="283"/>
        <w:contextualSpacing/>
        <w:rPr>
          <w:rFonts w:ascii="Times New Roman" w:hAnsi="Times New Roman"/>
        </w:rPr>
      </w:pPr>
      <w:r w:rsidRPr="00923DD7">
        <w:rPr>
          <w:rFonts w:ascii="Times New Roman" w:hAnsi="Times New Roman"/>
        </w:rPr>
        <w:t>A cross-departmental committee under the Prime Minister/Governor/Mayor, regularly convened together with a multi-stakeholder commission / board</w:t>
      </w:r>
      <w:r w:rsidR="007351B7" w:rsidRPr="00923DD7">
        <w:rPr>
          <w:rFonts w:ascii="Times New Roman" w:hAnsi="Times New Roman"/>
        </w:rPr>
        <w:t>.</w:t>
      </w:r>
      <w:r w:rsidR="00F670C0" w:rsidRPr="00923DD7">
        <w:rPr>
          <w:rFonts w:ascii="Times New Roman" w:hAnsi="Times New Roman"/>
        </w:rPr>
        <w:t xml:space="preserve"> Such comitte could allow for the sharing of information across different governmental department and different scales of government.</w:t>
      </w:r>
    </w:p>
    <w:p w:rsidR="007351B7" w:rsidRPr="00923DD7" w:rsidRDefault="007351B7" w:rsidP="00923DD7">
      <w:pPr>
        <w:spacing w:after="120" w:line="240" w:lineRule="auto"/>
        <w:ind w:left="709"/>
        <w:contextualSpacing/>
        <w:rPr>
          <w:rFonts w:ascii="Times New Roman" w:hAnsi="Times New Roman"/>
        </w:rPr>
      </w:pPr>
    </w:p>
    <w:p w:rsidR="00CA5467" w:rsidRPr="00923DD7" w:rsidRDefault="00CA5467" w:rsidP="00923DD7">
      <w:pPr>
        <w:numPr>
          <w:ilvl w:val="0"/>
          <w:numId w:val="6"/>
        </w:numPr>
        <w:spacing w:after="120" w:line="240" w:lineRule="auto"/>
        <w:ind w:left="709" w:hanging="283"/>
        <w:contextualSpacing/>
        <w:rPr>
          <w:rFonts w:ascii="Times New Roman" w:hAnsi="Times New Roman"/>
        </w:rPr>
      </w:pPr>
      <w:r w:rsidRPr="00923DD7">
        <w:rPr>
          <w:rFonts w:ascii="Times New Roman" w:hAnsi="Times New Roman"/>
        </w:rPr>
        <w:t xml:space="preserve">An integrated SDG strategy should be produced </w:t>
      </w:r>
      <w:r w:rsidR="00F670C0" w:rsidRPr="00923DD7">
        <w:rPr>
          <w:rFonts w:ascii="Times New Roman" w:hAnsi="Times New Roman"/>
        </w:rPr>
        <w:t xml:space="preserve">by government, </w:t>
      </w:r>
      <w:r w:rsidRPr="00923DD7">
        <w:rPr>
          <w:rFonts w:ascii="Times New Roman" w:hAnsi="Times New Roman"/>
        </w:rPr>
        <w:t xml:space="preserve">which would then have an annual </w:t>
      </w:r>
      <w:r w:rsidR="0032774D" w:rsidRPr="00923DD7">
        <w:rPr>
          <w:rFonts w:ascii="Times New Roman" w:hAnsi="Times New Roman"/>
        </w:rPr>
        <w:t xml:space="preserve">or biennial </w:t>
      </w:r>
      <w:r w:rsidRPr="00923DD7">
        <w:rPr>
          <w:rFonts w:ascii="Times New Roman" w:hAnsi="Times New Roman"/>
        </w:rPr>
        <w:t xml:space="preserve">SDG Report which could then reflect implementation of other relevant agreements such as the Convention on biological Diversity, the Framework Convention on Climate Change, any poverty reduction strategies, and highlight the most important interlinkages.  </w:t>
      </w:r>
    </w:p>
    <w:p w:rsidR="007351B7" w:rsidRPr="00923DD7" w:rsidRDefault="007351B7" w:rsidP="00923DD7">
      <w:pPr>
        <w:spacing w:after="120" w:line="240" w:lineRule="auto"/>
        <w:contextualSpacing/>
        <w:rPr>
          <w:rFonts w:ascii="Times New Roman" w:hAnsi="Times New Roman"/>
        </w:rPr>
      </w:pPr>
    </w:p>
    <w:p w:rsidR="007A571E" w:rsidRPr="00923DD7" w:rsidRDefault="00F670C0" w:rsidP="00923DD7">
      <w:pPr>
        <w:numPr>
          <w:ilvl w:val="0"/>
          <w:numId w:val="6"/>
        </w:numPr>
        <w:spacing w:after="280" w:line="240" w:lineRule="auto"/>
        <w:ind w:left="709" w:hanging="283"/>
        <w:contextualSpacing/>
        <w:rPr>
          <w:rFonts w:ascii="Times New Roman" w:hAnsi="Times New Roman"/>
        </w:rPr>
      </w:pPr>
      <w:r w:rsidRPr="00923DD7">
        <w:rPr>
          <w:rFonts w:ascii="Times New Roman" w:hAnsi="Times New Roman"/>
        </w:rPr>
        <w:t>In accordance with the</w:t>
      </w:r>
      <w:r w:rsidR="00CA5467" w:rsidRPr="00923DD7">
        <w:rPr>
          <w:rFonts w:ascii="Times New Roman" w:hAnsi="Times New Roman"/>
        </w:rPr>
        <w:t xml:space="preserve"> Nexus approach, all stakeholders should be consulted and be part of the decision making and implementa</w:t>
      </w:r>
      <w:r w:rsidRPr="00923DD7">
        <w:rPr>
          <w:rFonts w:ascii="Times New Roman" w:hAnsi="Times New Roman"/>
        </w:rPr>
        <w:t>tion processes. G</w:t>
      </w:r>
      <w:r w:rsidR="00CA5467" w:rsidRPr="00923DD7">
        <w:rPr>
          <w:rFonts w:ascii="Times New Roman" w:hAnsi="Times New Roman"/>
        </w:rPr>
        <w:t xml:space="preserve">overnments </w:t>
      </w:r>
      <w:r w:rsidRPr="00923DD7">
        <w:rPr>
          <w:rFonts w:ascii="Times New Roman" w:hAnsi="Times New Roman"/>
        </w:rPr>
        <w:t>can support such initiative by establ</w:t>
      </w:r>
      <w:r w:rsidR="007A571E" w:rsidRPr="00923DD7">
        <w:rPr>
          <w:rFonts w:ascii="Times New Roman" w:hAnsi="Times New Roman"/>
        </w:rPr>
        <w:t>ishing</w:t>
      </w:r>
      <w:r w:rsidR="00CA5467" w:rsidRPr="00923DD7">
        <w:rPr>
          <w:rFonts w:ascii="Times New Roman" w:hAnsi="Times New Roman"/>
        </w:rPr>
        <w:t xml:space="preserve"> a national Multi-Stakeholder Commission</w:t>
      </w:r>
      <w:r w:rsidR="007A571E" w:rsidRPr="00923DD7">
        <w:rPr>
          <w:rFonts w:ascii="Times New Roman" w:hAnsi="Times New Roman"/>
        </w:rPr>
        <w:t>s</w:t>
      </w:r>
      <w:r w:rsidR="00CA5467" w:rsidRPr="00923DD7">
        <w:rPr>
          <w:rFonts w:ascii="Times New Roman" w:hAnsi="Times New Roman"/>
        </w:rPr>
        <w:t xml:space="preserve"> on the SDGs</w:t>
      </w:r>
      <w:r w:rsidR="007A571E" w:rsidRPr="00923DD7">
        <w:rPr>
          <w:rFonts w:ascii="Times New Roman" w:hAnsi="Times New Roman"/>
        </w:rPr>
        <w:t xml:space="preserve"> where they do not already exist. T</w:t>
      </w:r>
      <w:r w:rsidR="00CA5467" w:rsidRPr="00923DD7">
        <w:rPr>
          <w:rFonts w:ascii="Times New Roman" w:hAnsi="Times New Roman"/>
        </w:rPr>
        <w:t>his will</w:t>
      </w:r>
      <w:r w:rsidR="007A571E" w:rsidRPr="00923DD7">
        <w:rPr>
          <w:rFonts w:ascii="Times New Roman" w:hAnsi="Times New Roman"/>
        </w:rPr>
        <w:t xml:space="preserve"> also</w:t>
      </w:r>
      <w:r w:rsidR="00CA5467" w:rsidRPr="00923DD7">
        <w:rPr>
          <w:rFonts w:ascii="Times New Roman" w:hAnsi="Times New Roman"/>
        </w:rPr>
        <w:t xml:space="preserve"> help address power differences between stakeholder groups</w:t>
      </w:r>
      <w:r w:rsidRPr="00923DD7">
        <w:rPr>
          <w:rFonts w:ascii="Times New Roman" w:hAnsi="Times New Roman"/>
        </w:rPr>
        <w:t xml:space="preserve"> and provide a platform for stakeholders to engage</w:t>
      </w:r>
      <w:r w:rsidR="007A571E" w:rsidRPr="00923DD7">
        <w:rPr>
          <w:rFonts w:ascii="Times New Roman" w:hAnsi="Times New Roman"/>
        </w:rPr>
        <w:t>.</w:t>
      </w:r>
      <w:r w:rsidR="00CF1E65" w:rsidRPr="00923DD7">
        <w:rPr>
          <w:rFonts w:ascii="Times New Roman" w:hAnsi="Times New Roman"/>
        </w:rPr>
        <w:t xml:space="preserve"> </w:t>
      </w:r>
      <w:r w:rsidR="007A571E" w:rsidRPr="00923DD7">
        <w:rPr>
          <w:rFonts w:ascii="Times New Roman" w:hAnsi="Times New Roman"/>
        </w:rPr>
        <w:t>Such Commissions need to be set up with great consideration and extensive consultation among government departments and stakeholders. They need to be serviced by functioning Secretariats and resources, including access to knowledge and science as needed. They will benefit from external, professional process d</w:t>
      </w:r>
      <w:r w:rsidR="00CF1E65" w:rsidRPr="00923DD7">
        <w:rPr>
          <w:rFonts w:ascii="Times New Roman" w:hAnsi="Times New Roman"/>
        </w:rPr>
        <w:t xml:space="preserve">esign and facilitation </w:t>
      </w:r>
      <w:r w:rsidR="007A571E" w:rsidRPr="00923DD7">
        <w:rPr>
          <w:rFonts w:ascii="Times New Roman" w:hAnsi="Times New Roman"/>
        </w:rPr>
        <w:t>to maximize the benefits of dialogue and cooperation.</w:t>
      </w:r>
      <w:r w:rsidR="00CA5467" w:rsidRPr="00923DD7">
        <w:rPr>
          <w:rFonts w:ascii="Times New Roman" w:hAnsi="Times New Roman"/>
        </w:rPr>
        <w:t xml:space="preserve"> </w:t>
      </w:r>
    </w:p>
    <w:p w:rsidR="00CA5467" w:rsidRPr="00923DD7" w:rsidRDefault="00CA5467" w:rsidP="00923DD7">
      <w:pPr>
        <w:pStyle w:val="Heading4"/>
        <w:numPr>
          <w:ilvl w:val="1"/>
          <w:numId w:val="2"/>
        </w:numPr>
        <w:spacing w:after="120" w:line="240" w:lineRule="auto"/>
        <w:rPr>
          <w:rFonts w:eastAsia="Times New Roman" w:cs="Times New Roman"/>
          <w:sz w:val="22"/>
        </w:rPr>
      </w:pPr>
      <w:bookmarkStart w:id="42" w:name="_Toc512269706"/>
      <w:bookmarkStart w:id="43" w:name="_Hlk506384961"/>
      <w:r w:rsidRPr="00923DD7">
        <w:rPr>
          <w:rFonts w:eastAsia="Times New Roman" w:cs="Times New Roman"/>
          <w:sz w:val="22"/>
        </w:rPr>
        <w:t>Science-policy interface</w:t>
      </w:r>
      <w:bookmarkEnd w:id="42"/>
      <w:r w:rsidRPr="00923DD7">
        <w:rPr>
          <w:rFonts w:eastAsia="Times New Roman" w:cs="Times New Roman"/>
          <w:sz w:val="22"/>
        </w:rPr>
        <w:t xml:space="preserve"> </w:t>
      </w:r>
    </w:p>
    <w:bookmarkEnd w:id="43"/>
    <w:p w:rsidR="00CF1E65" w:rsidRPr="00923DD7" w:rsidRDefault="00CA5467" w:rsidP="00923DD7">
      <w:pPr>
        <w:spacing w:after="120" w:line="240" w:lineRule="auto"/>
        <w:ind w:firstLine="720"/>
        <w:rPr>
          <w:rFonts w:ascii="Times New Roman" w:hAnsi="Times New Roman"/>
        </w:rPr>
      </w:pPr>
      <w:r w:rsidRPr="00923DD7">
        <w:rPr>
          <w:rFonts w:ascii="Times New Roman" w:hAnsi="Times New Roman"/>
        </w:rPr>
        <w:t>The scientific community must undertake and deliver interdisciplinary and trans-disciplinary research that identifies new policy approaches and gr</w:t>
      </w:r>
      <w:r w:rsidR="00CF1E65" w:rsidRPr="00923DD7">
        <w:rPr>
          <w:rFonts w:ascii="Times New Roman" w:hAnsi="Times New Roman"/>
        </w:rPr>
        <w:t>ounds them in robust science and,</w:t>
      </w:r>
      <w:r w:rsidRPr="00923DD7">
        <w:rPr>
          <w:rFonts w:ascii="Times New Roman" w:hAnsi="Times New Roman"/>
        </w:rPr>
        <w:t xml:space="preserve"> local</w:t>
      </w:r>
      <w:r w:rsidR="00CF1E65" w:rsidRPr="00923DD7">
        <w:rPr>
          <w:rFonts w:ascii="Times New Roman" w:hAnsi="Times New Roman"/>
        </w:rPr>
        <w:t xml:space="preserve"> and traditional knowledge. Such approach should help defined</w:t>
      </w:r>
      <w:r w:rsidRPr="00923DD7">
        <w:rPr>
          <w:rFonts w:ascii="Times New Roman" w:hAnsi="Times New Roman"/>
        </w:rPr>
        <w:t xml:space="preserve"> what is and is not a cr</w:t>
      </w:r>
      <w:r w:rsidR="00CF1E65" w:rsidRPr="00923DD7">
        <w:rPr>
          <w:rFonts w:ascii="Times New Roman" w:hAnsi="Times New Roman"/>
        </w:rPr>
        <w:t>oss-cutting issue, and provide</w:t>
      </w:r>
      <w:r w:rsidRPr="00923DD7">
        <w:rPr>
          <w:rFonts w:ascii="Times New Roman" w:hAnsi="Times New Roman"/>
        </w:rPr>
        <w:t xml:space="preserve"> policy makers </w:t>
      </w:r>
      <w:r w:rsidR="007A571E" w:rsidRPr="00923DD7">
        <w:rPr>
          <w:rFonts w:ascii="Times New Roman" w:hAnsi="Times New Roman"/>
        </w:rPr>
        <w:t xml:space="preserve">and stakeholders </w:t>
      </w:r>
      <w:r w:rsidRPr="00923DD7">
        <w:rPr>
          <w:rFonts w:ascii="Times New Roman" w:hAnsi="Times New Roman"/>
        </w:rPr>
        <w:t>with evidence and tools that match their needs for informed decision-making.</w:t>
      </w:r>
    </w:p>
    <w:p w:rsidR="00CA5467" w:rsidRPr="00923DD7" w:rsidRDefault="00CA5467" w:rsidP="00923DD7">
      <w:pPr>
        <w:spacing w:after="120" w:line="240" w:lineRule="auto"/>
        <w:ind w:firstLine="720"/>
        <w:rPr>
          <w:rFonts w:ascii="Times New Roman" w:hAnsi="Times New Roman"/>
        </w:rPr>
      </w:pPr>
      <w:r w:rsidRPr="00923DD7">
        <w:rPr>
          <w:rFonts w:ascii="Times New Roman" w:hAnsi="Times New Roman"/>
        </w:rPr>
        <w:t xml:space="preserve"> Member States should look at how they can encourage Universities and Colleges to reward working in an inter- and trans-disciplinary way and report progress to the HLPF in their voluntary national reports. International and national scientific and professional associations, and the education system should create rewards, create funding programmes, and build capacities to address an inter-trans-disciplinary approach.</w:t>
      </w:r>
    </w:p>
    <w:p w:rsidR="00C025A0" w:rsidRPr="00923DD7" w:rsidRDefault="007A571E" w:rsidP="00923DD7">
      <w:pPr>
        <w:spacing w:after="280" w:line="240" w:lineRule="auto"/>
        <w:ind w:firstLine="720"/>
        <w:rPr>
          <w:rFonts w:ascii="Times New Roman" w:hAnsi="Times New Roman"/>
        </w:rPr>
      </w:pPr>
      <w:r w:rsidRPr="00923DD7">
        <w:rPr>
          <w:rFonts w:ascii="Times New Roman" w:hAnsi="Times New Roman"/>
        </w:rPr>
        <w:t>Member S</w:t>
      </w:r>
      <w:r w:rsidR="00CA5467" w:rsidRPr="00923DD7">
        <w:rPr>
          <w:rFonts w:ascii="Times New Roman" w:hAnsi="Times New Roman"/>
        </w:rPr>
        <w:t xml:space="preserve">tates should encourage and create the appropriate institutional structures that will allow for the ease and uptake of knowledge of the scientific community and local and traditional knowledge. Such structures should be of the appropriate scale and be certifiably recognized to be the interface for the nexus on science and policy. </w:t>
      </w:r>
      <w:r w:rsidR="006D0F20" w:rsidRPr="00923DD7">
        <w:rPr>
          <w:rFonts w:ascii="Times New Roman" w:hAnsi="Times New Roman"/>
        </w:rPr>
        <w:t>In addition, critical challenge is to agree common language among researchers to better articulate their findings to both policymakers, the private sector and other stakeholders.</w:t>
      </w:r>
    </w:p>
    <w:p w:rsidR="00CA5467" w:rsidRPr="00923DD7" w:rsidRDefault="00CA5467" w:rsidP="00923DD7">
      <w:pPr>
        <w:pStyle w:val="Heading4"/>
        <w:numPr>
          <w:ilvl w:val="1"/>
          <w:numId w:val="2"/>
        </w:numPr>
        <w:spacing w:after="120" w:line="240" w:lineRule="auto"/>
        <w:rPr>
          <w:rFonts w:eastAsia="Times New Roman" w:cs="Times New Roman"/>
          <w:sz w:val="22"/>
        </w:rPr>
      </w:pPr>
      <w:bookmarkStart w:id="44" w:name="_Toc512269707"/>
      <w:bookmarkStart w:id="45" w:name="_Hlk506384950"/>
      <w:r w:rsidRPr="00923DD7">
        <w:rPr>
          <w:rFonts w:eastAsia="Times New Roman" w:cs="Times New Roman"/>
          <w:sz w:val="22"/>
        </w:rPr>
        <w:lastRenderedPageBreak/>
        <w:t>Nexus Partnerships</w:t>
      </w:r>
      <w:bookmarkEnd w:id="44"/>
      <w:r w:rsidRPr="00923DD7">
        <w:rPr>
          <w:rFonts w:eastAsia="Times New Roman" w:cs="Times New Roman"/>
          <w:sz w:val="22"/>
        </w:rPr>
        <w:t xml:space="preserve"> </w:t>
      </w:r>
    </w:p>
    <w:bookmarkEnd w:id="45"/>
    <w:p w:rsidR="00CA5467" w:rsidRPr="00923DD7" w:rsidRDefault="00CA5467" w:rsidP="00923DD7">
      <w:pPr>
        <w:spacing w:after="120" w:line="240" w:lineRule="auto"/>
        <w:ind w:firstLine="720"/>
        <w:rPr>
          <w:rFonts w:ascii="Times New Roman" w:hAnsi="Times New Roman"/>
        </w:rPr>
      </w:pPr>
      <w:r w:rsidRPr="00923DD7">
        <w:rPr>
          <w:rFonts w:ascii="Times New Roman" w:hAnsi="Times New Roman"/>
        </w:rPr>
        <w:t xml:space="preserve">The implementation of the SDGs will include multiple delivery mechanisms. Governments, intergovernmental institutions, and individual stakeholders all have specific actions to take. Collaboration among actors will also be key, as agreed in Goal 17. </w:t>
      </w:r>
    </w:p>
    <w:p w:rsidR="00CA5467" w:rsidRPr="00923DD7" w:rsidRDefault="00CA5467" w:rsidP="00923DD7">
      <w:pPr>
        <w:pStyle w:val="ListParagraph"/>
        <w:numPr>
          <w:ilvl w:val="0"/>
          <w:numId w:val="7"/>
        </w:numPr>
        <w:spacing w:after="120" w:line="240" w:lineRule="auto"/>
        <w:ind w:left="714" w:hanging="357"/>
        <w:rPr>
          <w:rFonts w:ascii="Times New Roman" w:hAnsi="Times New Roman"/>
        </w:rPr>
      </w:pPr>
      <w:r w:rsidRPr="00923DD7">
        <w:rPr>
          <w:rFonts w:ascii="Times New Roman" w:hAnsi="Times New Roman"/>
        </w:rPr>
        <w:t xml:space="preserve">Nexus </w:t>
      </w:r>
      <w:r w:rsidRPr="00923DD7">
        <w:rPr>
          <w:rFonts w:ascii="Times New Roman" w:hAnsi="Times New Roman"/>
          <w:b/>
          <w:bCs/>
          <w:i/>
          <w:iCs/>
        </w:rPr>
        <w:t>Multi-Stakeholder Partnerships</w:t>
      </w:r>
      <w:r w:rsidRPr="00923DD7">
        <w:rPr>
          <w:rFonts w:ascii="Times New Roman" w:hAnsi="Times New Roman"/>
        </w:rPr>
        <w:t xml:space="preserve"> can play a role in delivering the SDGs and their Targets, particularly when governments, stakeholders, or sectors cannot create a solution to a challenge on their own or implement necessary changes by themselves. These partnerships should be based on guidelines and principles agreed by the UN General Assembly – including transparency, inclusiveness, equity, and accountability. Partnerships should neither replace action that should be undertaken by governments, nor should they take resources away from governments </w:t>
      </w:r>
      <w:r w:rsidR="003E4D33" w:rsidRPr="00923DD7">
        <w:rPr>
          <w:rFonts w:ascii="Times New Roman" w:hAnsi="Times New Roman"/>
        </w:rPr>
        <w:t>which might</w:t>
      </w:r>
      <w:r w:rsidRPr="00923DD7">
        <w:rPr>
          <w:rFonts w:ascii="Times New Roman" w:hAnsi="Times New Roman"/>
        </w:rPr>
        <w:t xml:space="preserve"> negatively impact their ability to do their work.</w:t>
      </w:r>
    </w:p>
    <w:p w:rsidR="00CA5467" w:rsidRPr="00923DD7" w:rsidRDefault="00CA5467" w:rsidP="00923DD7">
      <w:pPr>
        <w:numPr>
          <w:ilvl w:val="0"/>
          <w:numId w:val="7"/>
        </w:numPr>
        <w:spacing w:after="280" w:line="240" w:lineRule="auto"/>
        <w:ind w:left="714" w:hanging="357"/>
        <w:contextualSpacing/>
        <w:rPr>
          <w:rFonts w:ascii="Times New Roman" w:hAnsi="Times New Roman"/>
        </w:rPr>
      </w:pPr>
      <w:r w:rsidRPr="00923DD7">
        <w:rPr>
          <w:rFonts w:ascii="Times New Roman" w:hAnsi="Times New Roman"/>
        </w:rPr>
        <w:t xml:space="preserve">Nexus </w:t>
      </w:r>
      <w:r w:rsidRPr="00923DD7">
        <w:rPr>
          <w:rFonts w:ascii="Times New Roman" w:hAnsi="Times New Roman"/>
          <w:b/>
          <w:bCs/>
          <w:i/>
          <w:iCs/>
        </w:rPr>
        <w:t>Public Private Partnerships</w:t>
      </w:r>
      <w:r w:rsidRPr="00923DD7">
        <w:rPr>
          <w:rFonts w:ascii="Times New Roman" w:hAnsi="Times New Roman"/>
        </w:rPr>
        <w:t xml:space="preserve"> (PPPs), can also contribute in delivering the SDGs when companies or others are contracted to deliver certain services for public benefit. There is some controversy around the use of PPPs. We believe that the UN General Assembly should adopt a set of clear principle and guidelines for SDG related PPPs, learning from past failures and successes and guided by the principles identified in the Addis Ababa Action Agenda for PPPs.  The Addis Ababa Action Agreement </w:t>
      </w:r>
      <w:r w:rsidR="005934EB" w:rsidRPr="00923DD7">
        <w:rPr>
          <w:rFonts w:ascii="Times New Roman" w:hAnsi="Times New Roman"/>
        </w:rPr>
        <w:t xml:space="preserve">makes it clear that </w:t>
      </w:r>
      <w:r w:rsidRPr="00923DD7">
        <w:rPr>
          <w:rFonts w:ascii="Times New Roman" w:hAnsi="Times New Roman"/>
        </w:rPr>
        <w:t xml:space="preserve">public-private partnerships </w:t>
      </w:r>
      <w:r w:rsidR="005934EB" w:rsidRPr="00923DD7">
        <w:rPr>
          <w:rFonts w:ascii="Times New Roman" w:hAnsi="Times New Roman"/>
        </w:rPr>
        <w:t>(</w:t>
      </w:r>
      <w:r w:rsidRPr="00923DD7">
        <w:rPr>
          <w:rFonts w:ascii="Times New Roman" w:hAnsi="Times New Roman"/>
        </w:rPr>
        <w:t>PPPs</w:t>
      </w:r>
      <w:r w:rsidR="005934EB" w:rsidRPr="00923DD7">
        <w:rPr>
          <w:rFonts w:ascii="Times New Roman" w:hAnsi="Times New Roman"/>
        </w:rPr>
        <w:t>)</w:t>
      </w:r>
      <w:r w:rsidRPr="00923DD7">
        <w:rPr>
          <w:rFonts w:ascii="Times New Roman" w:hAnsi="Times New Roman"/>
        </w:rPr>
        <w:t xml:space="preserve"> should share risks and rewards fairly, include clear accountability mechanisms, and meet social and environmental standards. </w:t>
      </w:r>
    </w:p>
    <w:p w:rsidR="00CA5467" w:rsidRPr="00923DD7" w:rsidRDefault="00CA5467" w:rsidP="00923DD7">
      <w:pPr>
        <w:pStyle w:val="Heading4"/>
        <w:numPr>
          <w:ilvl w:val="1"/>
          <w:numId w:val="2"/>
        </w:numPr>
        <w:spacing w:after="120" w:line="240" w:lineRule="auto"/>
        <w:rPr>
          <w:rFonts w:eastAsia="Times New Roman" w:cs="Times New Roman"/>
          <w:sz w:val="22"/>
        </w:rPr>
      </w:pPr>
      <w:bookmarkStart w:id="46" w:name="_Toc512269708"/>
      <w:bookmarkStart w:id="47" w:name="_Hlk506384936"/>
      <w:r w:rsidRPr="00923DD7">
        <w:rPr>
          <w:rFonts w:eastAsia="Times New Roman" w:cs="Times New Roman"/>
          <w:sz w:val="22"/>
        </w:rPr>
        <w:t>Technology transfer or sharing</w:t>
      </w:r>
      <w:bookmarkEnd w:id="46"/>
    </w:p>
    <w:p w:rsidR="00CA5467" w:rsidRPr="00923DD7" w:rsidRDefault="00CA5467" w:rsidP="00923DD7">
      <w:pPr>
        <w:spacing w:after="280" w:line="240" w:lineRule="auto"/>
        <w:ind w:firstLine="720"/>
        <w:rPr>
          <w:rFonts w:ascii="Times New Roman" w:hAnsi="Times New Roman"/>
        </w:rPr>
      </w:pPr>
      <w:r w:rsidRPr="00923DD7">
        <w:rPr>
          <w:rFonts w:ascii="Times New Roman" w:hAnsi="Times New Roman"/>
        </w:rPr>
        <w:t>New technology should be shared through the Technology Facilitation Mechanism and technology banks. These will enhance the ability of governments and stakeholders to address Nexus challenges and trade-offs. The Technology Facilitation Mechanism set out in</w:t>
      </w:r>
      <w:r w:rsidR="005934EB" w:rsidRPr="00923DD7">
        <w:rPr>
          <w:rFonts w:ascii="Times New Roman" w:hAnsi="Times New Roman"/>
        </w:rPr>
        <w:t xml:space="preserve"> </w:t>
      </w:r>
      <w:r w:rsidRPr="00923DD7">
        <w:rPr>
          <w:rFonts w:ascii="Times New Roman" w:hAnsi="Times New Roman"/>
        </w:rPr>
        <w:t>the Addis Ababa Action Agenda should move beyond its online platform to support actual technology transfers via matchmaking. These matches should be between technology suppliers and technology seekers.</w:t>
      </w:r>
      <w:r w:rsidR="00AF0F59" w:rsidRPr="00923DD7">
        <w:rPr>
          <w:rFonts w:ascii="Times New Roman" w:hAnsi="Times New Roman"/>
        </w:rPr>
        <w:t xml:space="preserve"> </w:t>
      </w:r>
      <w:r w:rsidRPr="00923DD7">
        <w:rPr>
          <w:rFonts w:ascii="Times New Roman" w:hAnsi="Times New Roman"/>
        </w:rPr>
        <w:t>In addition, there should also be matches between technology transfer service providers and enterprises.</w:t>
      </w:r>
    </w:p>
    <w:p w:rsidR="005E4577" w:rsidRPr="00923DD7" w:rsidRDefault="005E4577" w:rsidP="00923DD7">
      <w:pPr>
        <w:pStyle w:val="Heading4"/>
        <w:numPr>
          <w:ilvl w:val="1"/>
          <w:numId w:val="2"/>
        </w:numPr>
        <w:spacing w:after="120" w:line="240" w:lineRule="auto"/>
        <w:rPr>
          <w:rFonts w:eastAsia="Times New Roman" w:cs="Times New Roman"/>
          <w:sz w:val="22"/>
        </w:rPr>
      </w:pPr>
      <w:bookmarkStart w:id="48" w:name="_Toc512269709"/>
      <w:bookmarkStart w:id="49" w:name="_Hlk506384925"/>
      <w:r w:rsidRPr="00923DD7">
        <w:rPr>
          <w:rFonts w:eastAsia="Times New Roman" w:cs="Times New Roman"/>
          <w:sz w:val="22"/>
        </w:rPr>
        <w:t>Capacity Building</w:t>
      </w:r>
      <w:bookmarkEnd w:id="48"/>
    </w:p>
    <w:bookmarkEnd w:id="49"/>
    <w:p w:rsidR="005E4577" w:rsidRPr="00923DD7" w:rsidRDefault="005E4577" w:rsidP="00923DD7">
      <w:pPr>
        <w:spacing w:after="120" w:line="240" w:lineRule="auto"/>
        <w:ind w:firstLine="720"/>
        <w:rPr>
          <w:rFonts w:ascii="Times New Roman" w:hAnsi="Times New Roman"/>
        </w:rPr>
      </w:pPr>
      <w:r w:rsidRPr="00923DD7">
        <w:rPr>
          <w:rFonts w:ascii="Times New Roman" w:hAnsi="Times New Roman"/>
        </w:rPr>
        <w:t>The challenge of addressing the Nexus requires capacity building within intergovernmental organizations, national governments, sub-national governments, local governments, and stakeholders. These actors should have their capacity enhanced; this can be achieved through training, toolkits, and sharing of good practice</w:t>
      </w:r>
      <w:r w:rsidR="005934EB" w:rsidRPr="00923DD7">
        <w:rPr>
          <w:rFonts w:ascii="Times New Roman" w:hAnsi="Times New Roman"/>
        </w:rPr>
        <w:t xml:space="preserve"> on the Nexus</w:t>
      </w:r>
      <w:r w:rsidRPr="00923DD7">
        <w:rPr>
          <w:rFonts w:ascii="Times New Roman" w:hAnsi="Times New Roman"/>
        </w:rPr>
        <w:t>.</w:t>
      </w:r>
    </w:p>
    <w:p w:rsidR="007351B7" w:rsidRPr="00923DD7" w:rsidRDefault="005E4577" w:rsidP="00923DD7">
      <w:pPr>
        <w:spacing w:after="280" w:line="240" w:lineRule="auto"/>
        <w:ind w:firstLine="720"/>
        <w:rPr>
          <w:rFonts w:ascii="Times New Roman" w:hAnsi="Times New Roman"/>
        </w:rPr>
      </w:pPr>
      <w:r w:rsidRPr="00923DD7">
        <w:rPr>
          <w:rFonts w:ascii="Times New Roman" w:hAnsi="Times New Roman"/>
        </w:rPr>
        <w:t xml:space="preserve">The building of technical expertise is necessary since currently there is not sufficient training for integrated management to address nexus issues.  Systems </w:t>
      </w:r>
      <w:r w:rsidR="007A571E" w:rsidRPr="00923DD7">
        <w:rPr>
          <w:rFonts w:ascii="Times New Roman" w:hAnsi="Times New Roman"/>
        </w:rPr>
        <w:t xml:space="preserve">and process </w:t>
      </w:r>
      <w:r w:rsidRPr="00923DD7">
        <w:rPr>
          <w:rFonts w:ascii="Times New Roman" w:hAnsi="Times New Roman"/>
        </w:rPr>
        <w:t>thinking, communication across sectoral and cultural differences, and collaborative leadership are critical skills for managers that must be taught regardless of discipline.</w:t>
      </w:r>
    </w:p>
    <w:p w:rsidR="00F670C0" w:rsidRPr="00923DD7" w:rsidRDefault="00F670C0" w:rsidP="00923DD7">
      <w:pPr>
        <w:spacing w:before="100" w:beforeAutospacing="1" w:after="100" w:afterAutospacing="1" w:line="240" w:lineRule="auto"/>
        <w:ind w:firstLine="720"/>
        <w:rPr>
          <w:rFonts w:ascii="Times New Roman" w:hAnsi="Times New Roman"/>
        </w:rPr>
      </w:pPr>
      <w:r w:rsidRPr="00923DD7">
        <w:rPr>
          <w:rFonts w:ascii="Times New Roman" w:hAnsi="Times New Roman"/>
        </w:rPr>
        <w:t xml:space="preserve">Capacity building can help increase social and human capital and created the necessary energy to encourage the new generation of practitioners to engage with the issue presented in Agenda 2030 in an integrated way. The Nexus conference demonstrated that such new generation is emerging, however, it is necessary that they are supported as so to further develop their skills and provide them with the resource to increase their engagement. </w:t>
      </w:r>
    </w:p>
    <w:p w:rsidR="005E4577" w:rsidRPr="00923DD7" w:rsidRDefault="005E4577" w:rsidP="00923DD7">
      <w:pPr>
        <w:pStyle w:val="Heading4"/>
        <w:numPr>
          <w:ilvl w:val="1"/>
          <w:numId w:val="2"/>
        </w:numPr>
        <w:spacing w:after="120" w:line="240" w:lineRule="auto"/>
        <w:rPr>
          <w:rFonts w:eastAsia="Times New Roman" w:cs="Times New Roman"/>
          <w:sz w:val="22"/>
        </w:rPr>
      </w:pPr>
      <w:bookmarkStart w:id="50" w:name="_Toc512269710"/>
      <w:bookmarkStart w:id="51" w:name="_Hlk506384910"/>
      <w:r w:rsidRPr="00923DD7">
        <w:rPr>
          <w:rFonts w:eastAsia="Times New Roman" w:cs="Times New Roman"/>
          <w:sz w:val="22"/>
        </w:rPr>
        <w:lastRenderedPageBreak/>
        <w:t>Financing the Nexus</w:t>
      </w:r>
      <w:bookmarkEnd w:id="50"/>
      <w:r w:rsidRPr="00923DD7">
        <w:rPr>
          <w:rFonts w:eastAsia="Times New Roman" w:cs="Times New Roman"/>
          <w:sz w:val="22"/>
        </w:rPr>
        <w:t xml:space="preserve"> </w:t>
      </w:r>
    </w:p>
    <w:bookmarkEnd w:id="51"/>
    <w:p w:rsidR="005E4577" w:rsidRPr="00923DD7" w:rsidRDefault="005E4577" w:rsidP="00923DD7">
      <w:pPr>
        <w:spacing w:after="120" w:line="240" w:lineRule="auto"/>
        <w:ind w:firstLine="720"/>
        <w:rPr>
          <w:rFonts w:ascii="Times New Roman" w:hAnsi="Times New Roman"/>
        </w:rPr>
      </w:pPr>
      <w:r w:rsidRPr="00923DD7">
        <w:rPr>
          <w:rFonts w:ascii="Times New Roman" w:hAnsi="Times New Roman"/>
        </w:rPr>
        <w:t>Addressing Nexus issues will require support for the development of integrated financing mechanisms that can accommodate the time</w:t>
      </w:r>
      <w:r w:rsidR="003D55B9" w:rsidRPr="00923DD7">
        <w:rPr>
          <w:rFonts w:ascii="Times New Roman" w:hAnsi="Times New Roman"/>
        </w:rPr>
        <w:t>-</w:t>
      </w:r>
      <w:r w:rsidRPr="00923DD7">
        <w:rPr>
          <w:rFonts w:ascii="Times New Roman" w:hAnsi="Times New Roman"/>
        </w:rPr>
        <w:t>frames and the tradeoffs between the different elements of the Nexus.</w:t>
      </w:r>
    </w:p>
    <w:p w:rsidR="00C84DFB" w:rsidRPr="00923DD7" w:rsidRDefault="00C84DFB" w:rsidP="00923DD7">
      <w:pPr>
        <w:spacing w:before="100" w:beforeAutospacing="1" w:after="100" w:afterAutospacing="1" w:line="240" w:lineRule="auto"/>
        <w:ind w:firstLine="720"/>
        <w:rPr>
          <w:rFonts w:ascii="Times New Roman" w:hAnsi="Times New Roman"/>
        </w:rPr>
      </w:pPr>
      <w:r w:rsidRPr="00923DD7">
        <w:rPr>
          <w:rFonts w:ascii="Times New Roman" w:hAnsi="Times New Roman"/>
        </w:rPr>
        <w:t>Financial incentives at national and global levels should examine innovative methods to better calibrate incentives to accelerate progress</w:t>
      </w:r>
      <w:r w:rsidR="003D55B9" w:rsidRPr="00923DD7">
        <w:rPr>
          <w:rFonts w:ascii="Times New Roman" w:hAnsi="Times New Roman"/>
        </w:rPr>
        <w:t>,</w:t>
      </w:r>
      <w:r w:rsidRPr="00923DD7">
        <w:rPr>
          <w:rFonts w:ascii="Times New Roman" w:hAnsi="Times New Roman"/>
        </w:rPr>
        <w:t xml:space="preserve"> and to measure corporate contribution to the SDGs. Innovative forms of financing means that it is necessary to bridge the gap between short-term and long-term investment, macro and micro economics, and global and local financing. Sustainable finance should as well have at its heart new ways of measuring Return on Investment. We invite to broaden the measurement of this and other financial or economic indicators su</w:t>
      </w:r>
      <w:r w:rsidR="003D55B9" w:rsidRPr="00923DD7">
        <w:rPr>
          <w:rFonts w:ascii="Times New Roman" w:hAnsi="Times New Roman"/>
        </w:rPr>
        <w:t>ch as GDP to include not only</w:t>
      </w:r>
      <w:r w:rsidRPr="00923DD7">
        <w:rPr>
          <w:rFonts w:ascii="Times New Roman" w:hAnsi="Times New Roman"/>
        </w:rPr>
        <w:t xml:space="preserve"> economic analysis, but also social and environmental.</w:t>
      </w:r>
    </w:p>
    <w:p w:rsidR="005E4577" w:rsidRPr="00923DD7" w:rsidRDefault="005E4577" w:rsidP="00923DD7">
      <w:pPr>
        <w:spacing w:after="120" w:line="240" w:lineRule="auto"/>
        <w:ind w:firstLine="720"/>
        <w:rPr>
          <w:rFonts w:ascii="Times New Roman" w:hAnsi="Times New Roman"/>
        </w:rPr>
      </w:pPr>
      <w:r w:rsidRPr="00923DD7">
        <w:rPr>
          <w:rFonts w:ascii="Times New Roman" w:hAnsi="Times New Roman"/>
        </w:rPr>
        <w:t xml:space="preserve">Member States that have not done so should instruct Stock Exchanges to make it a listing requirement to produce Environment, Social and Governance Reports or explain why not. The Sustainable Stock Exchange Initiative and report progress through its UN members to the yearly Inter-Agency Task Force for Financing Development. Which should then report progress to the UN Finance for Development Forum in 2019, 2023, 2027 and 2030. </w:t>
      </w:r>
    </w:p>
    <w:p w:rsidR="005E4577" w:rsidRPr="00923DD7" w:rsidRDefault="005E4577" w:rsidP="00923DD7">
      <w:pPr>
        <w:spacing w:after="120" w:line="240" w:lineRule="auto"/>
        <w:ind w:firstLine="720"/>
        <w:rPr>
          <w:rFonts w:ascii="Times New Roman" w:hAnsi="Times New Roman"/>
        </w:rPr>
      </w:pPr>
      <w:r w:rsidRPr="00923DD7">
        <w:rPr>
          <w:rFonts w:ascii="Times New Roman" w:hAnsi="Times New Roman"/>
        </w:rPr>
        <w:t>The development of the World Benchmarking Alliance to support the ranking of companies in their internalization of the SDGs (particularly around key indicators) is to be welcomed and supported.</w:t>
      </w:r>
    </w:p>
    <w:p w:rsidR="005E4577" w:rsidRPr="00923DD7" w:rsidRDefault="003D55B9" w:rsidP="00923DD7">
      <w:pPr>
        <w:spacing w:after="120" w:line="240" w:lineRule="auto"/>
        <w:ind w:firstLine="720"/>
        <w:rPr>
          <w:rFonts w:ascii="Times New Roman" w:hAnsi="Times New Roman"/>
        </w:rPr>
      </w:pPr>
      <w:r w:rsidRPr="00923DD7">
        <w:rPr>
          <w:rFonts w:ascii="Times New Roman" w:hAnsi="Times New Roman"/>
        </w:rPr>
        <w:t>We welcome</w:t>
      </w:r>
      <w:r w:rsidR="005E4577" w:rsidRPr="00923DD7">
        <w:rPr>
          <w:rFonts w:ascii="Times New Roman" w:hAnsi="Times New Roman"/>
        </w:rPr>
        <w:t xml:space="preserve"> the decision by the Credit Rating Agency Moody’s to weigh the impact of climate risks with US states and US municipalities' preparedness and planning for these impacts when they are analyzing credit ratings. Analysts for municipal issuers with higher exposure to climate risks will also focus on current and future mitigation steps and how these steps will impact the issuer's overall profile when assigning ratings. This should be expanded to other countries and other credit rating agencies. </w:t>
      </w:r>
    </w:p>
    <w:p w:rsidR="005E4577" w:rsidRPr="00923DD7" w:rsidRDefault="005E4577" w:rsidP="00923DD7">
      <w:pPr>
        <w:spacing w:after="280" w:line="240" w:lineRule="auto"/>
        <w:ind w:firstLine="720"/>
        <w:rPr>
          <w:rFonts w:ascii="Times New Roman" w:hAnsi="Times New Roman"/>
        </w:rPr>
      </w:pPr>
      <w:r w:rsidRPr="00923DD7">
        <w:rPr>
          <w:rFonts w:ascii="Times New Roman" w:hAnsi="Times New Roman"/>
        </w:rPr>
        <w:t xml:space="preserve">Creating a robust pipeline of integrated investments (cleaner technologies) addressing Nexus issues will require support for social and environmental entrepreneurship as part of the development of sub-national natural resource use planning. Converting action plans into investable deals to unlock the private capital required to achieve the SDGs will need more institutional support and capacity-building than has heretofore been dedicated to this challenge. To support investment the World Bank and International Finance Corporation should consider establishing an Earth Fund which would offer insurance for investment in Least Developed Countries. </w:t>
      </w:r>
    </w:p>
    <w:p w:rsidR="00C84DFB" w:rsidRPr="00923DD7" w:rsidRDefault="00C84DFB" w:rsidP="00923DD7">
      <w:pPr>
        <w:spacing w:before="100" w:beforeAutospacing="1" w:after="100" w:afterAutospacing="1" w:line="240" w:lineRule="auto"/>
        <w:ind w:firstLine="720"/>
        <w:rPr>
          <w:rFonts w:ascii="Times New Roman" w:hAnsi="Times New Roman"/>
        </w:rPr>
      </w:pPr>
      <w:r w:rsidRPr="00923DD7">
        <w:rPr>
          <w:rFonts w:ascii="Times New Roman" w:hAnsi="Times New Roman"/>
        </w:rPr>
        <w:t>Finally, the Nexus Community recognizes the importance of providing finance and support to the developing world to deliver the SDGs, and to consider the impact that unsustainable financing can have on least develo</w:t>
      </w:r>
      <w:r w:rsidR="003D55B9" w:rsidRPr="00923DD7">
        <w:rPr>
          <w:rFonts w:ascii="Times New Roman" w:hAnsi="Times New Roman"/>
        </w:rPr>
        <w:t xml:space="preserve">p countries. Furthermore, we encourage that investment and financing on delivering the </w:t>
      </w:r>
      <w:r w:rsidR="003D55B9" w:rsidRPr="00923DD7">
        <w:rPr>
          <w:rFonts w:ascii="Times New Roman" w:hAnsi="Times New Roman"/>
        </w:rPr>
        <w:br/>
        <w:t>SDGs occurs in a transparent way such as to avoid and fight corruption. W</w:t>
      </w:r>
      <w:r w:rsidRPr="00923DD7">
        <w:rPr>
          <w:rFonts w:ascii="Times New Roman" w:hAnsi="Times New Roman"/>
        </w:rPr>
        <w:t>e encourage further investment and financing of Nexus related research and tools aimed at delivering the SDGs</w:t>
      </w:r>
      <w:r w:rsidR="003D55B9" w:rsidRPr="00923DD7">
        <w:rPr>
          <w:rFonts w:ascii="Times New Roman" w:hAnsi="Times New Roman"/>
        </w:rPr>
        <w:t xml:space="preserve">. </w:t>
      </w:r>
    </w:p>
    <w:p w:rsidR="005E4577" w:rsidRPr="00923DD7" w:rsidRDefault="005E4577" w:rsidP="00923DD7">
      <w:pPr>
        <w:pStyle w:val="Heading4"/>
        <w:numPr>
          <w:ilvl w:val="1"/>
          <w:numId w:val="2"/>
        </w:numPr>
        <w:spacing w:after="120" w:line="240" w:lineRule="auto"/>
        <w:rPr>
          <w:rFonts w:eastAsia="Times New Roman" w:cs="Times New Roman"/>
          <w:sz w:val="22"/>
        </w:rPr>
      </w:pPr>
      <w:bookmarkStart w:id="52" w:name="_Toc512269711"/>
      <w:bookmarkStart w:id="53" w:name="_Hlk506384896"/>
      <w:r w:rsidRPr="00923DD7">
        <w:rPr>
          <w:rFonts w:eastAsia="Times New Roman" w:cs="Times New Roman"/>
          <w:sz w:val="22"/>
        </w:rPr>
        <w:t>Identifying Nexus indicators that might be useful at the national or sub-national level</w:t>
      </w:r>
      <w:bookmarkEnd w:id="52"/>
    </w:p>
    <w:bookmarkEnd w:id="53"/>
    <w:p w:rsidR="005E4577" w:rsidRPr="00923DD7" w:rsidRDefault="005E4577" w:rsidP="00923DD7">
      <w:pPr>
        <w:spacing w:after="120" w:line="240" w:lineRule="auto"/>
        <w:ind w:firstLine="720"/>
        <w:rPr>
          <w:rFonts w:ascii="Times New Roman" w:hAnsi="Times New Roman"/>
        </w:rPr>
      </w:pPr>
      <w:r w:rsidRPr="00923DD7">
        <w:rPr>
          <w:rFonts w:ascii="Times New Roman" w:hAnsi="Times New Roman"/>
        </w:rPr>
        <w:t xml:space="preserve">The United Nations Statistical Commission’s Interagency and Expert Group on SDGs Indicators </w:t>
      </w:r>
      <w:r w:rsidR="00C84DFB" w:rsidRPr="00923DD7">
        <w:rPr>
          <w:rFonts w:ascii="Times New Roman" w:hAnsi="Times New Roman"/>
        </w:rPr>
        <w:t>(IAEG-SDGs) agreed on 230 I</w:t>
      </w:r>
      <w:r w:rsidRPr="00923DD7">
        <w:rPr>
          <w:rFonts w:ascii="Times New Roman" w:hAnsi="Times New Roman"/>
        </w:rPr>
        <w:t>ndicators to monitor the implementation of the SDGs. The global indicators represent what Member States can report on at present. National, sub-national and local government as well as stakeholders are encouraged to develop supplementary indicators through a consultation process with their populations. In particular they are encouraged to pilot indicators that address the interlinkages between Goals.</w:t>
      </w:r>
      <w:r w:rsidR="00C84DFB" w:rsidRPr="00923DD7">
        <w:rPr>
          <w:rFonts w:ascii="Times New Roman" w:hAnsi="Times New Roman"/>
        </w:rPr>
        <w:t xml:space="preserve"> It would be essential for the implementation of the SDGs to provide better guidance on how to use these Indicators at local, more contextualized levels. </w:t>
      </w:r>
    </w:p>
    <w:p w:rsidR="005E4577" w:rsidRPr="00923DD7" w:rsidRDefault="005E4577" w:rsidP="00923DD7">
      <w:pPr>
        <w:spacing w:after="280" w:line="240" w:lineRule="auto"/>
        <w:ind w:firstLine="720"/>
        <w:rPr>
          <w:rFonts w:ascii="Times New Roman" w:hAnsi="Times New Roman"/>
        </w:rPr>
      </w:pPr>
      <w:r w:rsidRPr="00923DD7">
        <w:rPr>
          <w:rFonts w:ascii="Times New Roman" w:hAnsi="Times New Roman"/>
        </w:rPr>
        <w:lastRenderedPageBreak/>
        <w:t>The World Data Forum in Abu Dhabi in October 2018 offers the chance to develop a dialogue on how to develop better interlinkage indicators over the coming years and to pilot them in preparing for the reviews of the SDG indicators in 2020 and 2024.</w:t>
      </w:r>
      <w:r w:rsidR="0032774D" w:rsidRPr="00923DD7">
        <w:rPr>
          <w:rFonts w:ascii="Times New Roman" w:hAnsi="Times New Roman"/>
        </w:rPr>
        <w:t xml:space="preserve">For instance the GEMI coordinated by UN-Water offer support to countries for the monitoring of SDG 6, including the creation of country base indicators. More initiatives like this for other SDGs should be implemented. </w:t>
      </w:r>
    </w:p>
    <w:p w:rsidR="00C84DFB" w:rsidRPr="00923DD7" w:rsidRDefault="00C84DFB" w:rsidP="00923DD7">
      <w:pPr>
        <w:spacing w:after="280" w:line="240" w:lineRule="auto"/>
        <w:ind w:firstLine="720"/>
        <w:rPr>
          <w:rFonts w:ascii="Times New Roman" w:hAnsi="Times New Roman"/>
        </w:rPr>
      </w:pPr>
      <w:r w:rsidRPr="00923DD7">
        <w:rPr>
          <w:rFonts w:ascii="Times New Roman" w:hAnsi="Times New Roman"/>
        </w:rPr>
        <w:t xml:space="preserve">Since the Nexus explicitly focuses on the interlinkages between water, energy, food and climate, it can provide insights and serve as a tool to identify indicators that measure the interlinkages at a local level. </w:t>
      </w:r>
    </w:p>
    <w:p w:rsidR="005E4577" w:rsidRPr="00923DD7" w:rsidRDefault="005E4577" w:rsidP="00923DD7">
      <w:pPr>
        <w:pStyle w:val="Heading4"/>
        <w:numPr>
          <w:ilvl w:val="1"/>
          <w:numId w:val="2"/>
        </w:numPr>
        <w:spacing w:after="120" w:line="240" w:lineRule="auto"/>
        <w:ind w:left="426" w:hanging="142"/>
        <w:rPr>
          <w:rFonts w:cs="Times New Roman"/>
          <w:sz w:val="22"/>
        </w:rPr>
      </w:pPr>
      <w:r w:rsidRPr="00923DD7">
        <w:rPr>
          <w:rFonts w:cs="Times New Roman"/>
          <w:sz w:val="22"/>
        </w:rPr>
        <w:t xml:space="preserve"> </w:t>
      </w:r>
      <w:bookmarkStart w:id="54" w:name="_Toc512269712"/>
      <w:r w:rsidRPr="00923DD7">
        <w:rPr>
          <w:rFonts w:cs="Times New Roman"/>
          <w:sz w:val="22"/>
        </w:rPr>
        <w:t>Compiling nexus tools (will be filled out as we collect them)</w:t>
      </w:r>
      <w:bookmarkEnd w:id="54"/>
    </w:p>
    <w:p w:rsidR="00C84DFB" w:rsidRPr="00923DD7" w:rsidRDefault="005E4577" w:rsidP="00923DD7">
      <w:pPr>
        <w:spacing w:after="120" w:line="240" w:lineRule="auto"/>
        <w:ind w:firstLine="720"/>
        <w:rPr>
          <w:rFonts w:ascii="Times New Roman" w:hAnsi="Times New Roman"/>
        </w:rPr>
      </w:pPr>
      <w:r w:rsidRPr="00923DD7">
        <w:rPr>
          <w:rFonts w:ascii="Times New Roman" w:hAnsi="Times New Roman"/>
        </w:rPr>
        <w:t>Since the first Nexus conference in 2011, there has been experimentation in models on how to address and to map out i</w:t>
      </w:r>
      <w:r w:rsidR="003D55B9" w:rsidRPr="00923DD7">
        <w:rPr>
          <w:rFonts w:ascii="Times New Roman" w:hAnsi="Times New Roman"/>
        </w:rPr>
        <w:t>nterlinkages so as to contribute to the</w:t>
      </w:r>
      <w:r w:rsidRPr="00923DD7">
        <w:rPr>
          <w:rFonts w:ascii="Times New Roman" w:hAnsi="Times New Roman"/>
        </w:rPr>
        <w:t xml:space="preserve"> prioritization and operationalization</w:t>
      </w:r>
      <w:r w:rsidR="003D55B9" w:rsidRPr="00923DD7">
        <w:rPr>
          <w:rFonts w:ascii="Times New Roman" w:hAnsi="Times New Roman"/>
        </w:rPr>
        <w:t xml:space="preserve"> of certain issues</w:t>
      </w:r>
      <w:r w:rsidRPr="00923DD7">
        <w:rPr>
          <w:rFonts w:ascii="Times New Roman" w:hAnsi="Times New Roman"/>
        </w:rPr>
        <w:t xml:space="preserve">. In this era of experimentation, it is recognized that the models and frameworks have limitations. </w:t>
      </w:r>
      <w:r w:rsidR="004E016E" w:rsidRPr="00923DD7">
        <w:rPr>
          <w:rFonts w:ascii="Times New Roman" w:hAnsi="Times New Roman"/>
        </w:rPr>
        <w:t>These models</w:t>
      </w:r>
      <w:r w:rsidR="00C84DFB" w:rsidRPr="00923DD7">
        <w:rPr>
          <w:rFonts w:ascii="Times New Roman" w:hAnsi="Times New Roman"/>
        </w:rPr>
        <w:t xml:space="preserve"> can provide</w:t>
      </w:r>
      <w:r w:rsidR="004E016E" w:rsidRPr="00923DD7">
        <w:rPr>
          <w:rFonts w:ascii="Times New Roman" w:hAnsi="Times New Roman"/>
        </w:rPr>
        <w:t xml:space="preserve"> observations to help recognized the possible trade-offs when addressing Nexus related issues or the SDGs themselves. The Nexus approach thus</w:t>
      </w:r>
      <w:r w:rsidR="003D55B9" w:rsidRPr="00923DD7">
        <w:rPr>
          <w:rFonts w:ascii="Times New Roman" w:hAnsi="Times New Roman"/>
        </w:rPr>
        <w:t>,</w:t>
      </w:r>
      <w:r w:rsidR="004E016E" w:rsidRPr="00923DD7">
        <w:rPr>
          <w:rFonts w:ascii="Times New Roman" w:hAnsi="Times New Roman"/>
        </w:rPr>
        <w:t xml:space="preserve"> brings into focus the positive synergies and potential negative tradeoffs that arise when working to achieve the ambitious 2030 Agenda, and it can help to develop more practical solutions to address key issues.</w:t>
      </w:r>
    </w:p>
    <w:p w:rsidR="005E4577" w:rsidRPr="00923DD7" w:rsidRDefault="005E4577" w:rsidP="00923DD7">
      <w:pPr>
        <w:spacing w:after="120" w:line="240" w:lineRule="auto"/>
        <w:ind w:firstLine="720"/>
        <w:rPr>
          <w:rFonts w:ascii="Times New Roman" w:hAnsi="Times New Roman"/>
        </w:rPr>
      </w:pPr>
      <w:r w:rsidRPr="00923DD7">
        <w:rPr>
          <w:rFonts w:ascii="Times New Roman" w:hAnsi="Times New Roman"/>
        </w:rPr>
        <w:t xml:space="preserve">However, more important than the results of these models are the process of developing and using them as these processes build knowledge and </w:t>
      </w:r>
      <w:r w:rsidR="003D55B9" w:rsidRPr="00923DD7">
        <w:rPr>
          <w:rFonts w:ascii="Times New Roman" w:hAnsi="Times New Roman"/>
        </w:rPr>
        <w:t>shared understanding, becoming</w:t>
      </w:r>
      <w:r w:rsidR="005934EB" w:rsidRPr="00923DD7">
        <w:rPr>
          <w:rFonts w:ascii="Times New Roman" w:hAnsi="Times New Roman"/>
        </w:rPr>
        <w:t xml:space="preserve"> key</w:t>
      </w:r>
      <w:r w:rsidRPr="00923DD7">
        <w:rPr>
          <w:rFonts w:ascii="Times New Roman" w:hAnsi="Times New Roman"/>
        </w:rPr>
        <w:t xml:space="preserve"> components of successful governance structures and processes. </w:t>
      </w:r>
    </w:p>
    <w:p w:rsidR="005E4577" w:rsidRPr="00923DD7" w:rsidRDefault="003D55B9" w:rsidP="00923DD7">
      <w:pPr>
        <w:spacing w:after="120" w:line="240" w:lineRule="auto"/>
        <w:ind w:firstLine="720"/>
        <w:rPr>
          <w:rFonts w:ascii="Times New Roman" w:hAnsi="Times New Roman"/>
        </w:rPr>
      </w:pPr>
      <w:r w:rsidRPr="00923DD7">
        <w:rPr>
          <w:rFonts w:ascii="Times New Roman" w:hAnsi="Times New Roman"/>
        </w:rPr>
        <w:t>Discussing N</w:t>
      </w:r>
      <w:r w:rsidR="005E4577" w:rsidRPr="00923DD7">
        <w:rPr>
          <w:rFonts w:ascii="Times New Roman" w:hAnsi="Times New Roman"/>
        </w:rPr>
        <w:t xml:space="preserve">exus tools will enable the discussion of interlinkages to become more tangible, allowing the aggregation of information from science and relevant stakeholders to the level of policymaking in a transparent way. </w:t>
      </w:r>
    </w:p>
    <w:p w:rsidR="007A571E" w:rsidRPr="00923DD7" w:rsidRDefault="007A571E" w:rsidP="00923DD7">
      <w:pPr>
        <w:spacing w:after="280" w:line="240" w:lineRule="auto"/>
        <w:ind w:firstLine="720"/>
        <w:rPr>
          <w:rFonts w:ascii="Times New Roman" w:hAnsi="Times New Roman"/>
        </w:rPr>
      </w:pPr>
      <w:r w:rsidRPr="00923DD7">
        <w:rPr>
          <w:rFonts w:ascii="Times New Roman" w:hAnsi="Times New Roman"/>
        </w:rPr>
        <w:t>Nexus tools include process tools: methods of stakeholder analysis and process design; relationship and trust building; multi-stakeholder dialogue for integration across issues and sectors; negotiating trade-offs; partnership brokering contracting and implementation; collaborative monitoring, evaluation and learning.</w:t>
      </w:r>
    </w:p>
    <w:p w:rsidR="005E4577" w:rsidRPr="00923DD7" w:rsidRDefault="004E016E" w:rsidP="00923DD7">
      <w:pPr>
        <w:spacing w:after="120" w:line="240" w:lineRule="auto"/>
        <w:ind w:firstLine="720"/>
        <w:rPr>
          <w:rFonts w:ascii="Times New Roman" w:hAnsi="Times New Roman"/>
        </w:rPr>
      </w:pPr>
      <w:r w:rsidRPr="00923DD7">
        <w:rPr>
          <w:rFonts w:ascii="Times New Roman" w:hAnsi="Times New Roman"/>
        </w:rPr>
        <w:t>The conference demonstrated that there is a growing body of research and modelling efforts lead by the public, private and academic sector among others, that explore</w:t>
      </w:r>
      <w:r w:rsidR="003D55B9" w:rsidRPr="00923DD7">
        <w:rPr>
          <w:rFonts w:ascii="Times New Roman" w:hAnsi="Times New Roman"/>
        </w:rPr>
        <w:t>s</w:t>
      </w:r>
      <w:r w:rsidRPr="00923DD7">
        <w:rPr>
          <w:rFonts w:ascii="Times New Roman" w:hAnsi="Times New Roman"/>
        </w:rPr>
        <w:t xml:space="preserve"> the Nexus between the different development challenges. Such research can provide important insights and pathways to implement innovative solutions, and be a powerful policy tools for governments at all levels</w:t>
      </w:r>
      <w:r w:rsidR="00A73B56" w:rsidRPr="00923DD7">
        <w:rPr>
          <w:rFonts w:ascii="Times New Roman" w:hAnsi="Times New Roman"/>
        </w:rPr>
        <w:t>. For</w:t>
      </w:r>
      <w:r w:rsidR="003D55B9" w:rsidRPr="00923DD7">
        <w:rPr>
          <w:rFonts w:ascii="Times New Roman" w:hAnsi="Times New Roman"/>
        </w:rPr>
        <w:t xml:space="preserve"> more</w:t>
      </w:r>
      <w:r w:rsidR="00A73B56" w:rsidRPr="00923DD7">
        <w:rPr>
          <w:rFonts w:ascii="Times New Roman" w:hAnsi="Times New Roman"/>
        </w:rPr>
        <w:t xml:space="preserve"> information on </w:t>
      </w:r>
      <w:r w:rsidRPr="00923DD7">
        <w:rPr>
          <w:rFonts w:ascii="Times New Roman" w:hAnsi="Times New Roman"/>
        </w:rPr>
        <w:t>Nexus too</w:t>
      </w:r>
      <w:r w:rsidR="00A73B56" w:rsidRPr="00923DD7">
        <w:rPr>
          <w:rFonts w:ascii="Times New Roman" w:hAnsi="Times New Roman"/>
        </w:rPr>
        <w:t xml:space="preserve">ls please see </w:t>
      </w:r>
      <w:r w:rsidR="00A73B56" w:rsidRPr="00923DD7">
        <w:rPr>
          <w:rFonts w:ascii="Times New Roman" w:hAnsi="Times New Roman"/>
          <w:b/>
          <w:i/>
        </w:rPr>
        <w:t xml:space="preserve">Appendix 1. </w:t>
      </w:r>
      <w:r w:rsidR="005E4577" w:rsidRPr="00923DD7">
        <w:rPr>
          <w:rFonts w:ascii="Times New Roman" w:hAnsi="Times New Roman"/>
        </w:rPr>
        <w:t xml:space="preserve">  </w:t>
      </w:r>
    </w:p>
    <w:p w:rsidR="005E4577" w:rsidRPr="00923DD7" w:rsidRDefault="005E4577" w:rsidP="00923DD7">
      <w:pPr>
        <w:pStyle w:val="Heading4"/>
        <w:numPr>
          <w:ilvl w:val="1"/>
          <w:numId w:val="2"/>
        </w:numPr>
        <w:spacing w:after="120" w:line="240" w:lineRule="auto"/>
        <w:ind w:left="567"/>
        <w:rPr>
          <w:rFonts w:eastAsia="Times New Roman" w:cs="Times New Roman"/>
          <w:sz w:val="22"/>
        </w:rPr>
      </w:pPr>
      <w:bookmarkStart w:id="55" w:name="_Toc512269713"/>
      <w:r w:rsidRPr="00923DD7">
        <w:rPr>
          <w:rFonts w:eastAsia="Times New Roman" w:cs="Times New Roman"/>
          <w:sz w:val="22"/>
        </w:rPr>
        <w:t>Education and public awareness for sustainable development</w:t>
      </w:r>
      <w:bookmarkEnd w:id="55"/>
    </w:p>
    <w:p w:rsidR="005E4577" w:rsidRPr="00923DD7" w:rsidRDefault="005E4577" w:rsidP="00923DD7">
      <w:pPr>
        <w:spacing w:after="280" w:line="240" w:lineRule="auto"/>
        <w:ind w:firstLine="720"/>
        <w:rPr>
          <w:rFonts w:ascii="Times New Roman" w:hAnsi="Times New Roman"/>
        </w:rPr>
      </w:pPr>
      <w:r w:rsidRPr="00923DD7">
        <w:rPr>
          <w:rFonts w:ascii="Times New Roman" w:hAnsi="Times New Roman"/>
        </w:rPr>
        <w:t xml:space="preserve">Providing students with the skills to address cross-disciplinary approaches will be critical to building a society that can address Nexus issues. The education system at all levels should integrate system thinking into curriculums.  </w:t>
      </w:r>
    </w:p>
    <w:p w:rsidR="004E016E" w:rsidRPr="00923DD7" w:rsidRDefault="004E016E" w:rsidP="00923DD7">
      <w:pPr>
        <w:spacing w:after="280" w:line="240" w:lineRule="auto"/>
        <w:ind w:firstLine="720"/>
        <w:rPr>
          <w:rFonts w:ascii="Times New Roman" w:hAnsi="Times New Roman"/>
        </w:rPr>
      </w:pPr>
      <w:r w:rsidRPr="00923DD7">
        <w:rPr>
          <w:rFonts w:ascii="Times New Roman" w:hAnsi="Times New Roman"/>
        </w:rPr>
        <w:t>Education and public awareness is essential in delivering the SDGs as people requires the knowledge and skills to be able to supp</w:t>
      </w:r>
      <w:r w:rsidR="00984585" w:rsidRPr="00923DD7">
        <w:rPr>
          <w:rFonts w:ascii="Times New Roman" w:hAnsi="Times New Roman"/>
        </w:rPr>
        <w:t xml:space="preserve">ort the implementation of the Agenda’s </w:t>
      </w:r>
      <w:r w:rsidR="007A571E" w:rsidRPr="00923DD7">
        <w:rPr>
          <w:rFonts w:ascii="Times New Roman" w:hAnsi="Times New Roman"/>
        </w:rPr>
        <w:t>ambitious</w:t>
      </w:r>
      <w:r w:rsidRPr="00923DD7">
        <w:rPr>
          <w:rFonts w:ascii="Times New Roman" w:hAnsi="Times New Roman"/>
        </w:rPr>
        <w:t xml:space="preserve"> Goals. Education </w:t>
      </w:r>
      <w:r w:rsidR="00261AF1" w:rsidRPr="00923DD7">
        <w:rPr>
          <w:rFonts w:ascii="Times New Roman" w:hAnsi="Times New Roman"/>
        </w:rPr>
        <w:t>is esse</w:t>
      </w:r>
      <w:r w:rsidR="00984585" w:rsidRPr="00923DD7">
        <w:rPr>
          <w:rFonts w:ascii="Times New Roman" w:hAnsi="Times New Roman"/>
        </w:rPr>
        <w:t>ntial to empower communities to move</w:t>
      </w:r>
      <w:r w:rsidR="00261AF1" w:rsidRPr="00923DD7">
        <w:rPr>
          <w:rFonts w:ascii="Times New Roman" w:hAnsi="Times New Roman"/>
        </w:rPr>
        <w:t xml:space="preserve"> towards </w:t>
      </w:r>
      <w:r w:rsidR="00984585" w:rsidRPr="00923DD7">
        <w:rPr>
          <w:rFonts w:ascii="Times New Roman" w:hAnsi="Times New Roman"/>
        </w:rPr>
        <w:t>sustainability.</w:t>
      </w:r>
      <w:r w:rsidR="00261AF1" w:rsidRPr="00923DD7">
        <w:rPr>
          <w:rFonts w:ascii="Times New Roman" w:hAnsi="Times New Roman"/>
        </w:rPr>
        <w:t xml:space="preserve"> </w:t>
      </w:r>
      <w:r w:rsidR="00984585" w:rsidRPr="00923DD7">
        <w:rPr>
          <w:rFonts w:ascii="Times New Roman" w:hAnsi="Times New Roman"/>
        </w:rPr>
        <w:t>It is essential that</w:t>
      </w:r>
      <w:r w:rsidR="00261AF1" w:rsidRPr="00923DD7">
        <w:rPr>
          <w:rFonts w:ascii="Times New Roman" w:hAnsi="Times New Roman"/>
        </w:rPr>
        <w:t xml:space="preserve"> education</w:t>
      </w:r>
      <w:r w:rsidR="00984585" w:rsidRPr="00923DD7">
        <w:rPr>
          <w:rFonts w:ascii="Times New Roman" w:hAnsi="Times New Roman"/>
        </w:rPr>
        <w:t xml:space="preserve"> across the world</w:t>
      </w:r>
      <w:r w:rsidR="00261AF1" w:rsidRPr="00923DD7">
        <w:rPr>
          <w:rFonts w:ascii="Times New Roman" w:hAnsi="Times New Roman"/>
        </w:rPr>
        <w:t xml:space="preserve"> </w:t>
      </w:r>
      <w:r w:rsidR="007A571E" w:rsidRPr="00923DD7">
        <w:rPr>
          <w:rFonts w:ascii="Times New Roman" w:hAnsi="Times New Roman"/>
        </w:rPr>
        <w:t>encourages</w:t>
      </w:r>
      <w:r w:rsidR="00261AF1" w:rsidRPr="00923DD7">
        <w:rPr>
          <w:rFonts w:ascii="Times New Roman" w:hAnsi="Times New Roman"/>
        </w:rPr>
        <w:t xml:space="preserve"> sustainability and sustainable </w:t>
      </w:r>
      <w:r w:rsidR="007A571E" w:rsidRPr="00923DD7">
        <w:rPr>
          <w:rFonts w:ascii="Times New Roman" w:hAnsi="Times New Roman"/>
        </w:rPr>
        <w:t>patterns</w:t>
      </w:r>
      <w:r w:rsidR="00261AF1" w:rsidRPr="00923DD7">
        <w:rPr>
          <w:rFonts w:ascii="Times New Roman" w:hAnsi="Times New Roman"/>
        </w:rPr>
        <w:t xml:space="preserve"> of </w:t>
      </w:r>
      <w:r w:rsidR="007A571E" w:rsidRPr="00923DD7">
        <w:rPr>
          <w:rFonts w:ascii="Times New Roman" w:hAnsi="Times New Roman"/>
        </w:rPr>
        <w:t>consumption</w:t>
      </w:r>
      <w:r w:rsidR="00261AF1" w:rsidRPr="00923DD7">
        <w:rPr>
          <w:rFonts w:ascii="Times New Roman" w:hAnsi="Times New Roman"/>
        </w:rPr>
        <w:t>.</w:t>
      </w:r>
      <w:r w:rsidR="00984585" w:rsidRPr="00923DD7">
        <w:rPr>
          <w:rFonts w:ascii="Times New Roman" w:hAnsi="Times New Roman"/>
        </w:rPr>
        <w:t xml:space="preserve"> For instance,  the</w:t>
      </w:r>
      <w:r w:rsidR="00261AF1" w:rsidRPr="00923DD7">
        <w:rPr>
          <w:rFonts w:ascii="Times New Roman" w:hAnsi="Times New Roman"/>
        </w:rPr>
        <w:t xml:space="preserve"> Education for Sustainable Development approach empowers people to take informed decisions for environmental, economic and social sustainable development. </w:t>
      </w:r>
    </w:p>
    <w:p w:rsidR="00261AF1" w:rsidRPr="00923DD7" w:rsidRDefault="00261AF1" w:rsidP="00923DD7">
      <w:pPr>
        <w:spacing w:after="280" w:line="240" w:lineRule="auto"/>
        <w:ind w:firstLine="720"/>
        <w:rPr>
          <w:rFonts w:ascii="Times New Roman" w:hAnsi="Times New Roman"/>
        </w:rPr>
      </w:pPr>
      <w:r w:rsidRPr="00923DD7">
        <w:rPr>
          <w:rFonts w:ascii="Times New Roman" w:hAnsi="Times New Roman"/>
        </w:rPr>
        <w:lastRenderedPageBreak/>
        <w:t>The Nexus approach can play</w:t>
      </w:r>
      <w:r w:rsidR="00984585" w:rsidRPr="00923DD7">
        <w:rPr>
          <w:rFonts w:ascii="Times New Roman" w:hAnsi="Times New Roman"/>
        </w:rPr>
        <w:t xml:space="preserve"> a crucial role in fostering a</w:t>
      </w:r>
      <w:r w:rsidRPr="00923DD7">
        <w:rPr>
          <w:rFonts w:ascii="Times New Roman" w:hAnsi="Times New Roman"/>
        </w:rPr>
        <w:t xml:space="preserve"> system thinking approach which can provide learners </w:t>
      </w:r>
      <w:r w:rsidR="00984585" w:rsidRPr="00923DD7">
        <w:rPr>
          <w:rFonts w:ascii="Times New Roman" w:hAnsi="Times New Roman"/>
        </w:rPr>
        <w:t xml:space="preserve">and the public at large </w:t>
      </w:r>
      <w:r w:rsidRPr="00923DD7">
        <w:rPr>
          <w:rFonts w:ascii="Times New Roman" w:hAnsi="Times New Roman"/>
        </w:rPr>
        <w:t>with the essential understanding that sustainability challeng</w:t>
      </w:r>
      <w:r w:rsidR="00984585" w:rsidRPr="00923DD7">
        <w:rPr>
          <w:rFonts w:ascii="Times New Roman" w:hAnsi="Times New Roman"/>
        </w:rPr>
        <w:t>es are not only to be seen</w:t>
      </w:r>
      <w:r w:rsidRPr="00923DD7">
        <w:rPr>
          <w:rFonts w:ascii="Times New Roman" w:hAnsi="Times New Roman"/>
        </w:rPr>
        <w:t xml:space="preserve"> as individual issue</w:t>
      </w:r>
      <w:r w:rsidR="00984585" w:rsidRPr="00923DD7">
        <w:rPr>
          <w:rFonts w:ascii="Times New Roman" w:hAnsi="Times New Roman"/>
        </w:rPr>
        <w:t>,</w:t>
      </w:r>
      <w:r w:rsidRPr="00923DD7">
        <w:rPr>
          <w:rFonts w:ascii="Times New Roman" w:hAnsi="Times New Roman"/>
        </w:rPr>
        <w:t xml:space="preserve"> but rather as part of a larger, </w:t>
      </w:r>
      <w:r w:rsidR="00AE138C" w:rsidRPr="00923DD7">
        <w:rPr>
          <w:rFonts w:ascii="Times New Roman" w:hAnsi="Times New Roman"/>
        </w:rPr>
        <w:t>complex, interconnected system.</w:t>
      </w:r>
    </w:p>
    <w:p w:rsidR="005E4577" w:rsidRPr="00923DD7" w:rsidRDefault="005E4577" w:rsidP="00923DD7">
      <w:pPr>
        <w:pStyle w:val="Heading4"/>
        <w:numPr>
          <w:ilvl w:val="1"/>
          <w:numId w:val="2"/>
        </w:numPr>
        <w:spacing w:after="120" w:line="240" w:lineRule="auto"/>
        <w:ind w:left="567"/>
        <w:rPr>
          <w:rFonts w:eastAsia="Times New Roman" w:cs="Times New Roman"/>
          <w:sz w:val="22"/>
        </w:rPr>
      </w:pPr>
      <w:bookmarkStart w:id="56" w:name="_Toc512269714"/>
      <w:r w:rsidRPr="00923DD7">
        <w:rPr>
          <w:rFonts w:eastAsia="Times New Roman" w:cs="Times New Roman"/>
          <w:sz w:val="22"/>
        </w:rPr>
        <w:t>Information for implementation and decision making</w:t>
      </w:r>
      <w:bookmarkEnd w:id="56"/>
    </w:p>
    <w:p w:rsidR="005E4577" w:rsidRPr="00923DD7" w:rsidRDefault="005E4577" w:rsidP="00923DD7">
      <w:pPr>
        <w:spacing w:after="480" w:line="240" w:lineRule="auto"/>
        <w:ind w:firstLine="720"/>
        <w:rPr>
          <w:rFonts w:ascii="Times New Roman" w:hAnsi="Times New Roman"/>
        </w:rPr>
      </w:pPr>
      <w:r w:rsidRPr="00923DD7">
        <w:rPr>
          <w:rFonts w:ascii="Times New Roman" w:hAnsi="Times New Roman"/>
        </w:rPr>
        <w:t xml:space="preserve">The development of two UN Regional Agreements on Access to Information, Public Participation and Decision Making (UNECE, UNECLAC) should inform and support other UN Regional Commissions in the development of similar instruments. </w:t>
      </w:r>
    </w:p>
    <w:p w:rsidR="00E203AA" w:rsidRPr="00923DD7" w:rsidRDefault="00984585" w:rsidP="00923DD7">
      <w:pPr>
        <w:spacing w:after="480" w:line="240" w:lineRule="auto"/>
        <w:ind w:firstLine="720"/>
        <w:rPr>
          <w:rFonts w:ascii="Times New Roman" w:hAnsi="Times New Roman"/>
        </w:rPr>
      </w:pPr>
      <w:r w:rsidRPr="00923DD7">
        <w:rPr>
          <w:rFonts w:ascii="Times New Roman" w:hAnsi="Times New Roman"/>
        </w:rPr>
        <w:t>What is more, i</w:t>
      </w:r>
      <w:r w:rsidR="00261AF1" w:rsidRPr="00923DD7">
        <w:rPr>
          <w:rFonts w:ascii="Times New Roman" w:hAnsi="Times New Roman"/>
        </w:rPr>
        <w:t>nformation for government, stakeholders and individua</w:t>
      </w:r>
      <w:r w:rsidRPr="00923DD7">
        <w:rPr>
          <w:rFonts w:ascii="Times New Roman" w:hAnsi="Times New Roman"/>
        </w:rPr>
        <w:t>ls should be available to promote informed decision-</w:t>
      </w:r>
      <w:r w:rsidR="00261AF1" w:rsidRPr="00923DD7">
        <w:rPr>
          <w:rFonts w:ascii="Times New Roman" w:hAnsi="Times New Roman"/>
        </w:rPr>
        <w:t>making.</w:t>
      </w:r>
      <w:r w:rsidRPr="00923DD7">
        <w:rPr>
          <w:rFonts w:ascii="Times New Roman" w:hAnsi="Times New Roman"/>
        </w:rPr>
        <w:t xml:space="preserve"> Sustainable development requires that policy makers have access to the best possible available information and data so as to guide their decision and the implementation of their policies. </w:t>
      </w:r>
      <w:r w:rsidR="00261AF1" w:rsidRPr="00923DD7">
        <w:rPr>
          <w:rFonts w:ascii="Times New Roman" w:hAnsi="Times New Roman"/>
        </w:rPr>
        <w:t xml:space="preserve">Also, for stakeholders to be engage in decision </w:t>
      </w:r>
      <w:r w:rsidR="007A571E" w:rsidRPr="00923DD7">
        <w:rPr>
          <w:rFonts w:ascii="Times New Roman" w:hAnsi="Times New Roman"/>
        </w:rPr>
        <w:t>making</w:t>
      </w:r>
      <w:r w:rsidR="00261AF1" w:rsidRPr="00923DD7">
        <w:rPr>
          <w:rFonts w:ascii="Times New Roman" w:hAnsi="Times New Roman"/>
        </w:rPr>
        <w:t xml:space="preserve"> and implementation process is crucial that they have </w:t>
      </w:r>
      <w:r w:rsidR="007A571E" w:rsidRPr="00923DD7">
        <w:rPr>
          <w:rFonts w:ascii="Times New Roman" w:hAnsi="Times New Roman"/>
        </w:rPr>
        <w:t>access</w:t>
      </w:r>
      <w:r w:rsidR="00261AF1" w:rsidRPr="00923DD7">
        <w:rPr>
          <w:rFonts w:ascii="Times New Roman" w:hAnsi="Times New Roman"/>
        </w:rPr>
        <w:t xml:space="preserve"> to the necessary information that would allow them to engage in a </w:t>
      </w:r>
      <w:r w:rsidR="007A571E" w:rsidRPr="00923DD7">
        <w:rPr>
          <w:rFonts w:ascii="Times New Roman" w:hAnsi="Times New Roman"/>
        </w:rPr>
        <w:t>meaningful</w:t>
      </w:r>
      <w:r w:rsidR="00261AF1" w:rsidRPr="00923DD7">
        <w:rPr>
          <w:rFonts w:ascii="Times New Roman" w:hAnsi="Times New Roman"/>
        </w:rPr>
        <w:t xml:space="preserve"> way. </w:t>
      </w:r>
      <w:r w:rsidRPr="00923DD7">
        <w:rPr>
          <w:rFonts w:ascii="Times New Roman" w:hAnsi="Times New Roman"/>
        </w:rPr>
        <w:t>Likewise, individuals</w:t>
      </w:r>
      <w:r w:rsidR="00261AF1" w:rsidRPr="00923DD7">
        <w:rPr>
          <w:rFonts w:ascii="Times New Roman" w:hAnsi="Times New Roman"/>
        </w:rPr>
        <w:t xml:space="preserve"> play </w:t>
      </w:r>
      <w:r w:rsidR="007A571E" w:rsidRPr="00923DD7">
        <w:rPr>
          <w:rFonts w:ascii="Times New Roman" w:hAnsi="Times New Roman"/>
        </w:rPr>
        <w:t>a vital role</w:t>
      </w:r>
      <w:r w:rsidR="00261AF1" w:rsidRPr="00923DD7">
        <w:rPr>
          <w:rFonts w:ascii="Times New Roman" w:hAnsi="Times New Roman"/>
        </w:rPr>
        <w:t xml:space="preserve"> in delivering the SGDs through their everyday behavior and consumer patters. </w:t>
      </w:r>
      <w:r w:rsidR="00E203AA" w:rsidRPr="00923DD7">
        <w:rPr>
          <w:rFonts w:ascii="Times New Roman" w:hAnsi="Times New Roman"/>
        </w:rPr>
        <w:t xml:space="preserve">For this </w:t>
      </w:r>
      <w:r w:rsidR="007A571E" w:rsidRPr="00923DD7">
        <w:rPr>
          <w:rFonts w:ascii="Times New Roman" w:hAnsi="Times New Roman"/>
        </w:rPr>
        <w:t>reason,</w:t>
      </w:r>
      <w:r w:rsidR="00E203AA" w:rsidRPr="00923DD7">
        <w:rPr>
          <w:rFonts w:ascii="Times New Roman" w:hAnsi="Times New Roman"/>
        </w:rPr>
        <w:t xml:space="preserve"> accurate information should be available so individual as well can make inform decision to contribute towards sustainable and resilient societies.</w:t>
      </w:r>
    </w:p>
    <w:p w:rsidR="00261AF1" w:rsidRPr="00923DD7" w:rsidRDefault="00261AF1" w:rsidP="00923DD7">
      <w:pPr>
        <w:spacing w:after="480" w:line="240" w:lineRule="auto"/>
        <w:ind w:firstLine="720"/>
        <w:rPr>
          <w:rFonts w:ascii="Times New Roman" w:hAnsi="Times New Roman"/>
        </w:rPr>
      </w:pPr>
      <w:r w:rsidRPr="00923DD7">
        <w:rPr>
          <w:rFonts w:ascii="Times New Roman" w:hAnsi="Times New Roman"/>
        </w:rPr>
        <w:t xml:space="preserve">Government and private companies are collecting more data than ever and such data should be available to facilitate inform decision making. </w:t>
      </w:r>
      <w:r w:rsidR="00E203AA" w:rsidRPr="00923DD7">
        <w:rPr>
          <w:rFonts w:ascii="Times New Roman" w:hAnsi="Times New Roman"/>
        </w:rPr>
        <w:t xml:space="preserve">Open source data and often crowdsourcing can provide </w:t>
      </w:r>
      <w:r w:rsidR="007A571E" w:rsidRPr="00923DD7">
        <w:rPr>
          <w:rFonts w:ascii="Times New Roman" w:hAnsi="Times New Roman"/>
        </w:rPr>
        <w:t>valuable information</w:t>
      </w:r>
      <w:r w:rsidR="00E203AA" w:rsidRPr="00923DD7">
        <w:rPr>
          <w:rFonts w:ascii="Times New Roman" w:hAnsi="Times New Roman"/>
        </w:rPr>
        <w:t xml:space="preserve"> that can in turn inform decision making. Despite the high value of such data, it is as well necessary to </w:t>
      </w:r>
      <w:r w:rsidR="007A571E" w:rsidRPr="00923DD7">
        <w:rPr>
          <w:rFonts w:ascii="Times New Roman" w:hAnsi="Times New Roman"/>
        </w:rPr>
        <w:t>recognize</w:t>
      </w:r>
      <w:r w:rsidR="00E203AA" w:rsidRPr="00923DD7">
        <w:rPr>
          <w:rFonts w:ascii="Times New Roman" w:hAnsi="Times New Roman"/>
        </w:rPr>
        <w:t xml:space="preserve"> the privacy implications that arise from increase data collection and we </w:t>
      </w:r>
      <w:r w:rsidR="007A571E" w:rsidRPr="00923DD7">
        <w:rPr>
          <w:rFonts w:ascii="Times New Roman" w:hAnsi="Times New Roman"/>
        </w:rPr>
        <w:t>encourage</w:t>
      </w:r>
      <w:r w:rsidR="00E203AA" w:rsidRPr="00923DD7">
        <w:rPr>
          <w:rFonts w:ascii="Times New Roman" w:hAnsi="Times New Roman"/>
        </w:rPr>
        <w:t xml:space="preserve"> governments and private industries to maintain privacy rights. </w:t>
      </w:r>
    </w:p>
    <w:p w:rsidR="00CB0F22" w:rsidRPr="00923DD7" w:rsidRDefault="00E203AA" w:rsidP="00923DD7">
      <w:pPr>
        <w:spacing w:after="480" w:line="240" w:lineRule="auto"/>
        <w:ind w:firstLine="720"/>
        <w:rPr>
          <w:rFonts w:ascii="Times New Roman" w:hAnsi="Times New Roman"/>
        </w:rPr>
      </w:pPr>
      <w:r w:rsidRPr="00923DD7">
        <w:rPr>
          <w:rFonts w:ascii="Times New Roman" w:hAnsi="Times New Roman"/>
        </w:rPr>
        <w:t>The Nexus Conferences has d</w:t>
      </w:r>
      <w:r w:rsidR="00CB0F22" w:rsidRPr="00923DD7">
        <w:rPr>
          <w:rFonts w:ascii="Times New Roman" w:hAnsi="Times New Roman"/>
        </w:rPr>
        <w:t>emonstrated</w:t>
      </w:r>
      <w:r w:rsidRPr="00923DD7">
        <w:rPr>
          <w:rFonts w:ascii="Times New Roman" w:hAnsi="Times New Roman"/>
        </w:rPr>
        <w:t xml:space="preserve"> that the tools that the Community has develop can there</w:t>
      </w:r>
      <w:r w:rsidR="00CB0F22" w:rsidRPr="00923DD7">
        <w:rPr>
          <w:rFonts w:ascii="Times New Roman" w:hAnsi="Times New Roman"/>
        </w:rPr>
        <w:t xml:space="preserve"> can be </w:t>
      </w:r>
      <w:r w:rsidRPr="00923DD7">
        <w:rPr>
          <w:rFonts w:ascii="Times New Roman" w:hAnsi="Times New Roman"/>
        </w:rPr>
        <w:t>useful</w:t>
      </w:r>
      <w:r w:rsidR="00CB0F22" w:rsidRPr="00923DD7">
        <w:rPr>
          <w:rFonts w:ascii="Times New Roman" w:hAnsi="Times New Roman"/>
        </w:rPr>
        <w:t xml:space="preserve"> in </w:t>
      </w:r>
      <w:r w:rsidRPr="00923DD7">
        <w:rPr>
          <w:rFonts w:ascii="Times New Roman" w:hAnsi="Times New Roman"/>
        </w:rPr>
        <w:t>informing</w:t>
      </w:r>
      <w:r w:rsidR="007A571E" w:rsidRPr="00923DD7">
        <w:rPr>
          <w:rFonts w:ascii="Times New Roman" w:hAnsi="Times New Roman"/>
        </w:rPr>
        <w:t xml:space="preserve"> decision</w:t>
      </w:r>
      <w:r w:rsidR="00CB0F22" w:rsidRPr="00923DD7">
        <w:rPr>
          <w:rFonts w:ascii="Times New Roman" w:hAnsi="Times New Roman"/>
        </w:rPr>
        <w:t xml:space="preserve"> </w:t>
      </w:r>
      <w:r w:rsidR="007A571E" w:rsidRPr="00923DD7">
        <w:rPr>
          <w:rFonts w:ascii="Times New Roman" w:hAnsi="Times New Roman"/>
        </w:rPr>
        <w:t>making, especially</w:t>
      </w:r>
      <w:r w:rsidRPr="00923DD7">
        <w:rPr>
          <w:rFonts w:ascii="Times New Roman" w:hAnsi="Times New Roman"/>
        </w:rPr>
        <w:t xml:space="preserve"> </w:t>
      </w:r>
      <w:r w:rsidR="007A571E" w:rsidRPr="00923DD7">
        <w:rPr>
          <w:rFonts w:ascii="Times New Roman" w:hAnsi="Times New Roman"/>
        </w:rPr>
        <w:t>sustainability</w:t>
      </w:r>
      <w:r w:rsidRPr="00923DD7">
        <w:rPr>
          <w:rFonts w:ascii="Times New Roman" w:hAnsi="Times New Roman"/>
        </w:rPr>
        <w:t xml:space="preserve"> models can provide </w:t>
      </w:r>
      <w:r w:rsidR="007A571E" w:rsidRPr="00923DD7">
        <w:rPr>
          <w:rFonts w:ascii="Times New Roman" w:hAnsi="Times New Roman"/>
        </w:rPr>
        <w:t xml:space="preserve">insights that could help policy </w:t>
      </w:r>
      <w:r w:rsidRPr="00923DD7">
        <w:rPr>
          <w:rFonts w:ascii="Times New Roman" w:hAnsi="Times New Roman"/>
        </w:rPr>
        <w:t>makers to take the appropriate action.</w:t>
      </w:r>
      <w:r w:rsidR="00CB0F22" w:rsidRPr="00923DD7">
        <w:rPr>
          <w:rFonts w:ascii="Times New Roman" w:hAnsi="Times New Roman"/>
        </w:rPr>
        <w:t xml:space="preserve"> </w:t>
      </w:r>
    </w:p>
    <w:p w:rsidR="005E4577" w:rsidRPr="00923DD7" w:rsidRDefault="005E4577" w:rsidP="00923DD7">
      <w:pPr>
        <w:pStyle w:val="Heading3"/>
        <w:numPr>
          <w:ilvl w:val="0"/>
          <w:numId w:val="2"/>
        </w:numPr>
        <w:spacing w:after="280" w:line="240" w:lineRule="auto"/>
        <w:rPr>
          <w:rFonts w:cs="Times New Roman"/>
          <w:b/>
          <w:sz w:val="22"/>
          <w:szCs w:val="22"/>
        </w:rPr>
      </w:pPr>
      <w:bookmarkStart w:id="57" w:name="_Toc512269715"/>
      <w:r w:rsidRPr="00923DD7">
        <w:rPr>
          <w:rFonts w:cs="Times New Roman"/>
          <w:b/>
          <w:sz w:val="22"/>
          <w:szCs w:val="22"/>
        </w:rPr>
        <w:t>CONCLUSION: INTEGRATED IMPLEMENTATION OF THE SUSTAINABLE DEVELOPMENT GOALS (to be filled in at the conference)</w:t>
      </w:r>
      <w:bookmarkEnd w:id="57"/>
      <w:r w:rsidRPr="00923DD7">
        <w:rPr>
          <w:rFonts w:cs="Times New Roman"/>
          <w:b/>
          <w:sz w:val="22"/>
          <w:szCs w:val="22"/>
        </w:rPr>
        <w:t xml:space="preserve"> </w:t>
      </w:r>
    </w:p>
    <w:p w:rsidR="00A6508E" w:rsidRPr="00923DD7" w:rsidRDefault="005E4577" w:rsidP="00923DD7">
      <w:pPr>
        <w:spacing w:after="280" w:line="240" w:lineRule="auto"/>
        <w:ind w:firstLine="720"/>
        <w:rPr>
          <w:rFonts w:ascii="Times New Roman" w:hAnsi="Times New Roman"/>
        </w:rPr>
      </w:pPr>
      <w:r w:rsidRPr="00923DD7">
        <w:rPr>
          <w:rFonts w:ascii="Times New Roman" w:hAnsi="Times New Roman"/>
        </w:rPr>
        <w:t>An integrated approach is vita</w:t>
      </w:r>
      <w:r w:rsidR="000A2024" w:rsidRPr="00923DD7">
        <w:rPr>
          <w:rFonts w:ascii="Times New Roman" w:hAnsi="Times New Roman"/>
        </w:rPr>
        <w:t>l to the implementation of the Goals and T</w:t>
      </w:r>
      <w:r w:rsidR="007A571E" w:rsidRPr="00923DD7">
        <w:rPr>
          <w:rFonts w:ascii="Times New Roman" w:hAnsi="Times New Roman"/>
        </w:rPr>
        <w:t xml:space="preserve">argets of the </w:t>
      </w:r>
      <w:r w:rsidR="000A2024" w:rsidRPr="00923DD7">
        <w:rPr>
          <w:rFonts w:ascii="Times New Roman" w:hAnsi="Times New Roman"/>
        </w:rPr>
        <w:t>2030 A</w:t>
      </w:r>
      <w:r w:rsidRPr="00923DD7">
        <w:rPr>
          <w:rFonts w:ascii="Times New Roman" w:hAnsi="Times New Roman"/>
        </w:rPr>
        <w:t>genda</w:t>
      </w:r>
      <w:r w:rsidR="000A2024" w:rsidRPr="00923DD7">
        <w:rPr>
          <w:rFonts w:ascii="Times New Roman" w:hAnsi="Times New Roman"/>
        </w:rPr>
        <w:t xml:space="preserve"> and its Sustainable Development Goals</w:t>
      </w:r>
      <w:r w:rsidRPr="00923DD7">
        <w:rPr>
          <w:rFonts w:ascii="Times New Roman" w:hAnsi="Times New Roman"/>
        </w:rPr>
        <w:t>.</w:t>
      </w:r>
      <w:r w:rsidR="000A2024" w:rsidRPr="00923DD7">
        <w:rPr>
          <w:rFonts w:ascii="Times New Roman" w:hAnsi="Times New Roman"/>
        </w:rPr>
        <w:t xml:space="preserve"> The Nexus can provide insights and serve as a tool for the implementation of such goals. The 2018 Nexus Conference demonstrated and reaffirmed the </w:t>
      </w:r>
      <w:r w:rsidR="007A571E" w:rsidRPr="00923DD7">
        <w:rPr>
          <w:rFonts w:ascii="Times New Roman" w:hAnsi="Times New Roman"/>
        </w:rPr>
        <w:t>potential</w:t>
      </w:r>
      <w:r w:rsidR="000A2024" w:rsidRPr="00923DD7">
        <w:rPr>
          <w:rFonts w:ascii="Times New Roman" w:hAnsi="Times New Roman"/>
        </w:rPr>
        <w:t xml:space="preserve"> of the Nexus as a means to understand the interlinkages between water, </w:t>
      </w:r>
      <w:r w:rsidR="007A571E" w:rsidRPr="00923DD7">
        <w:rPr>
          <w:rFonts w:ascii="Times New Roman" w:hAnsi="Times New Roman"/>
        </w:rPr>
        <w:t>food, energy and climate, and it</w:t>
      </w:r>
      <w:r w:rsidR="00923DD7" w:rsidRPr="00923DD7">
        <w:rPr>
          <w:rFonts w:ascii="Times New Roman" w:hAnsi="Times New Roman"/>
        </w:rPr>
        <w:t>s</w:t>
      </w:r>
      <w:r w:rsidR="007A571E" w:rsidRPr="00923DD7">
        <w:rPr>
          <w:rFonts w:ascii="Times New Roman" w:hAnsi="Times New Roman"/>
        </w:rPr>
        <w:t xml:space="preserve"> capacity to </w:t>
      </w:r>
      <w:r w:rsidR="000A2024" w:rsidRPr="00923DD7">
        <w:rPr>
          <w:rFonts w:ascii="Times New Roman" w:hAnsi="Times New Roman"/>
        </w:rPr>
        <w:t>be applied more widely as it can help to enhance the understanding of connections among other issue</w:t>
      </w:r>
      <w:r w:rsidR="00AE138C" w:rsidRPr="00923DD7">
        <w:rPr>
          <w:rFonts w:ascii="Times New Roman" w:hAnsi="Times New Roman"/>
        </w:rPr>
        <w:t xml:space="preserve"> pertaining to the Agenda.</w:t>
      </w:r>
    </w:p>
    <w:p w:rsidR="005B53BC" w:rsidRPr="00923DD7" w:rsidRDefault="00AE138C" w:rsidP="00923DD7">
      <w:pPr>
        <w:spacing w:after="280" w:line="240" w:lineRule="auto"/>
        <w:ind w:firstLine="720"/>
        <w:rPr>
          <w:rFonts w:ascii="Times New Roman" w:hAnsi="Times New Roman"/>
        </w:rPr>
      </w:pPr>
      <w:r w:rsidRPr="00923DD7">
        <w:rPr>
          <w:rFonts w:ascii="Times New Roman" w:hAnsi="Times New Roman"/>
        </w:rPr>
        <w:t>The aimed of the 2018 Nexus Conference was to bring together different stakeholders</w:t>
      </w:r>
      <w:r w:rsidR="00A6508E" w:rsidRPr="00923DD7">
        <w:rPr>
          <w:rFonts w:ascii="Times New Roman" w:hAnsi="Times New Roman"/>
        </w:rPr>
        <w:t xml:space="preserve"> ranging from the international community of researchers, NGOs, policy makers, to the private sector and other major groups</w:t>
      </w:r>
      <w:r w:rsidR="00923DD7" w:rsidRPr="00923DD7">
        <w:rPr>
          <w:rFonts w:ascii="Times New Roman" w:hAnsi="Times New Roman"/>
        </w:rPr>
        <w:t xml:space="preserve"> </w:t>
      </w:r>
      <w:r w:rsidR="00A6508E" w:rsidRPr="00923DD7">
        <w:rPr>
          <w:rFonts w:ascii="Times New Roman" w:hAnsi="Times New Roman"/>
        </w:rPr>
        <w:t>to</w:t>
      </w:r>
      <w:r w:rsidRPr="00923DD7">
        <w:rPr>
          <w:rFonts w:ascii="Times New Roman" w:hAnsi="Times New Roman"/>
        </w:rPr>
        <w:t xml:space="preserve"> include a variety of perspective that </w:t>
      </w:r>
      <w:r w:rsidR="007A571E" w:rsidRPr="00923DD7">
        <w:rPr>
          <w:rFonts w:ascii="Times New Roman" w:hAnsi="Times New Roman"/>
        </w:rPr>
        <w:t>helped identified</w:t>
      </w:r>
      <w:r w:rsidRPr="00923DD7">
        <w:rPr>
          <w:rFonts w:ascii="Times New Roman" w:hAnsi="Times New Roman"/>
        </w:rPr>
        <w:t xml:space="preserve"> </w:t>
      </w:r>
      <w:r w:rsidR="007A571E" w:rsidRPr="00923DD7">
        <w:rPr>
          <w:rFonts w:ascii="Times New Roman" w:hAnsi="Times New Roman"/>
        </w:rPr>
        <w:t>various</w:t>
      </w:r>
      <w:r w:rsidRPr="00923DD7">
        <w:rPr>
          <w:rFonts w:ascii="Times New Roman" w:hAnsi="Times New Roman"/>
        </w:rPr>
        <w:t xml:space="preserve"> challenges that should be addressed in this year’s High Level Political Forum’s </w:t>
      </w:r>
      <w:r w:rsidR="00923DD7" w:rsidRPr="00923DD7">
        <w:rPr>
          <w:rFonts w:ascii="Times New Roman" w:hAnsi="Times New Roman"/>
        </w:rPr>
        <w:t>Ministerial Declaration. Also</w:t>
      </w:r>
      <w:r w:rsidRPr="00923DD7">
        <w:rPr>
          <w:rFonts w:ascii="Times New Roman" w:hAnsi="Times New Roman"/>
        </w:rPr>
        <w:t>, the Conference intended to provide insights for implementation of the SDGs and reinforced the importance of global partnerships for sustainable development.</w:t>
      </w:r>
    </w:p>
    <w:p w:rsidR="005B53BC" w:rsidRPr="00923DD7" w:rsidRDefault="00AE138C" w:rsidP="00923DD7">
      <w:pPr>
        <w:spacing w:after="280" w:line="240" w:lineRule="auto"/>
        <w:ind w:firstLine="720"/>
        <w:rPr>
          <w:rFonts w:ascii="Times New Roman" w:hAnsi="Times New Roman"/>
        </w:rPr>
      </w:pPr>
      <w:r w:rsidRPr="00923DD7">
        <w:rPr>
          <w:rFonts w:ascii="Times New Roman" w:hAnsi="Times New Roman"/>
        </w:rPr>
        <w:lastRenderedPageBreak/>
        <w:t xml:space="preserve"> </w:t>
      </w:r>
      <w:r w:rsidR="005B53BC" w:rsidRPr="00923DD7">
        <w:rPr>
          <w:rFonts w:ascii="Times New Roman" w:hAnsi="Times New Roman"/>
        </w:rPr>
        <w:t>The Nexus approach serves to analyze, design and implemen</w:t>
      </w:r>
      <w:r w:rsidR="00923DD7" w:rsidRPr="00923DD7">
        <w:rPr>
          <w:rFonts w:ascii="Times New Roman" w:hAnsi="Times New Roman"/>
        </w:rPr>
        <w:t>t policies</w:t>
      </w:r>
      <w:r w:rsidR="005B53BC" w:rsidRPr="00923DD7">
        <w:rPr>
          <w:rFonts w:ascii="Times New Roman" w:hAnsi="Times New Roman"/>
        </w:rPr>
        <w:t xml:space="preserve"> in a multi-disciplinary, systems-based and integrated manner, and thus can be an effective tool in implementing the Agenda 2030. </w:t>
      </w:r>
      <w:r w:rsidR="00574873" w:rsidRPr="00923DD7">
        <w:rPr>
          <w:rFonts w:ascii="Times New Roman" w:hAnsi="Times New Roman"/>
        </w:rPr>
        <w:t>Throughout</w:t>
      </w:r>
      <w:r w:rsidR="005B53BC" w:rsidRPr="00923DD7">
        <w:rPr>
          <w:rFonts w:ascii="Times New Roman" w:hAnsi="Times New Roman"/>
        </w:rPr>
        <w:t xml:space="preserve"> the Conference the Nexus Community tried to unpack the notion </w:t>
      </w:r>
      <w:r w:rsidR="00923DD7" w:rsidRPr="00923DD7">
        <w:rPr>
          <w:rFonts w:ascii="Times New Roman" w:hAnsi="Times New Roman"/>
        </w:rPr>
        <w:t>of how</w:t>
      </w:r>
      <w:r w:rsidR="005B53BC" w:rsidRPr="00923DD7">
        <w:rPr>
          <w:rFonts w:ascii="Times New Roman" w:hAnsi="Times New Roman"/>
        </w:rPr>
        <w:t xml:space="preserve"> exactly integrated approaches looks like</w:t>
      </w:r>
      <w:r w:rsidR="00923DD7" w:rsidRPr="00923DD7">
        <w:rPr>
          <w:rFonts w:ascii="Times New Roman" w:hAnsi="Times New Roman"/>
        </w:rPr>
        <w:t xml:space="preserve"> and it did so by presenting the Nexus approach in action</w:t>
      </w:r>
      <w:r w:rsidR="005B53BC" w:rsidRPr="00923DD7">
        <w:rPr>
          <w:rFonts w:ascii="Times New Roman" w:hAnsi="Times New Roman"/>
        </w:rPr>
        <w:t xml:space="preserve">. </w:t>
      </w:r>
      <w:r w:rsidR="008B4CE4" w:rsidRPr="00923DD7">
        <w:rPr>
          <w:rFonts w:ascii="Times New Roman" w:hAnsi="Times New Roman"/>
        </w:rPr>
        <w:t xml:space="preserve">The Nexus approach focuses on optimizing positive synergies while minimizing negative tradeoffs, and it is thus an effective means to develop more practical solutions to address key issues. </w:t>
      </w:r>
    </w:p>
    <w:p w:rsidR="00AE138C" w:rsidRPr="00923DD7" w:rsidRDefault="006D0F20" w:rsidP="00923DD7">
      <w:pPr>
        <w:spacing w:after="280" w:line="240" w:lineRule="auto"/>
        <w:ind w:firstLine="720"/>
        <w:rPr>
          <w:rFonts w:ascii="Times New Roman" w:hAnsi="Times New Roman"/>
        </w:rPr>
      </w:pPr>
      <w:r w:rsidRPr="00923DD7">
        <w:rPr>
          <w:rFonts w:ascii="Times New Roman" w:hAnsi="Times New Roman"/>
        </w:rPr>
        <w:t>The Conference showed that there is a growing body of research and modelling efforts lead by the public, private and academic sector among others, that explore</w:t>
      </w:r>
      <w:r w:rsidR="00923DD7" w:rsidRPr="00923DD7">
        <w:rPr>
          <w:rFonts w:ascii="Times New Roman" w:hAnsi="Times New Roman"/>
        </w:rPr>
        <w:t>s</w:t>
      </w:r>
      <w:r w:rsidRPr="00923DD7">
        <w:rPr>
          <w:rFonts w:ascii="Times New Roman" w:hAnsi="Times New Roman"/>
        </w:rPr>
        <w:t xml:space="preserve"> the Nexus between the different development challenges and indeed such research and modeling can serve as a tool to address the SDGs. </w:t>
      </w:r>
    </w:p>
    <w:p w:rsidR="00574873" w:rsidRPr="00923DD7" w:rsidRDefault="00574873" w:rsidP="00923DD7">
      <w:pPr>
        <w:spacing w:before="100" w:beforeAutospacing="1" w:after="100" w:afterAutospacing="1" w:line="240" w:lineRule="auto"/>
        <w:ind w:firstLine="720"/>
        <w:rPr>
          <w:rFonts w:ascii="Times New Roman" w:hAnsi="Times New Roman"/>
        </w:rPr>
      </w:pPr>
      <w:r w:rsidRPr="00923DD7">
        <w:rPr>
          <w:rFonts w:ascii="Times New Roman" w:hAnsi="Times New Roman"/>
        </w:rPr>
        <w:t>This year the Nexus was looked through an urban lens as such perspective is necessary to address the challenges presented by cities and implement the 2030 Agenda. A steadily growing percentage of the world’s population is living in cities and towns and thus</w:t>
      </w:r>
      <w:r w:rsidR="00923DD7" w:rsidRPr="00923DD7">
        <w:rPr>
          <w:rFonts w:ascii="Times New Roman" w:hAnsi="Times New Roman"/>
        </w:rPr>
        <w:t>,</w:t>
      </w:r>
      <w:r w:rsidRPr="00923DD7">
        <w:rPr>
          <w:rFonts w:ascii="Times New Roman" w:hAnsi="Times New Roman"/>
        </w:rPr>
        <w:t xml:space="preserve"> cities are in </w:t>
      </w:r>
      <w:r w:rsidR="00923DD7" w:rsidRPr="00923DD7">
        <w:rPr>
          <w:rFonts w:ascii="Times New Roman" w:hAnsi="Times New Roman"/>
        </w:rPr>
        <w:t xml:space="preserve">constant demand for </w:t>
      </w:r>
      <w:r w:rsidRPr="00923DD7">
        <w:rPr>
          <w:rFonts w:ascii="Times New Roman" w:hAnsi="Times New Roman"/>
        </w:rPr>
        <w:t xml:space="preserve">resources. </w:t>
      </w:r>
      <w:r w:rsidR="008B4CE4" w:rsidRPr="00923DD7">
        <w:rPr>
          <w:rFonts w:ascii="Times New Roman" w:hAnsi="Times New Roman"/>
        </w:rPr>
        <w:t xml:space="preserve">The research presented </w:t>
      </w:r>
      <w:r w:rsidR="00923DD7" w:rsidRPr="00923DD7">
        <w:rPr>
          <w:rFonts w:ascii="Times New Roman" w:hAnsi="Times New Roman"/>
        </w:rPr>
        <w:t>throughout</w:t>
      </w:r>
      <w:r w:rsidR="008B4CE4" w:rsidRPr="00923DD7">
        <w:rPr>
          <w:rFonts w:ascii="Times New Roman" w:hAnsi="Times New Roman"/>
        </w:rPr>
        <w:t xml:space="preserve"> the Conference have demonstrated that cities and towns are fundamentally connected within the broader system of social and ecological processes. Most of the water, energy and food that supports urban living is supplied from rural areas. The supply of these services to the cities in combination to the waste that cities generate have an enormous impact on rural areas, the pattern of rural development, and ecosystems services.</w:t>
      </w:r>
      <w:r w:rsidRPr="00923DD7">
        <w:rPr>
          <w:rFonts w:ascii="Times New Roman" w:hAnsi="Times New Roman"/>
        </w:rPr>
        <w:t xml:space="preserve"> For sustainable development then, city planning and design from a Nexus lens becomes crucial. If the 2030 Agenda is to be </w:t>
      </w:r>
      <w:r w:rsidR="00923DD7" w:rsidRPr="00923DD7">
        <w:rPr>
          <w:rFonts w:ascii="Times New Roman" w:hAnsi="Times New Roman"/>
        </w:rPr>
        <w:t>successfully</w:t>
      </w:r>
      <w:r w:rsidRPr="00923DD7">
        <w:rPr>
          <w:rFonts w:ascii="Times New Roman" w:hAnsi="Times New Roman"/>
        </w:rPr>
        <w:t xml:space="preserve"> implemented is necessary that cities become sustainable and do not exceed planetary boundaries</w:t>
      </w:r>
      <w:r w:rsidR="00923DD7" w:rsidRPr="00923DD7">
        <w:rPr>
          <w:rFonts w:ascii="Times New Roman" w:hAnsi="Times New Roman"/>
        </w:rPr>
        <w:t>.</w:t>
      </w:r>
    </w:p>
    <w:p w:rsidR="005E4577" w:rsidRPr="00923DD7" w:rsidRDefault="00574873" w:rsidP="00923DD7">
      <w:pPr>
        <w:spacing w:before="100" w:beforeAutospacing="1" w:after="100" w:afterAutospacing="1" w:line="240" w:lineRule="auto"/>
        <w:ind w:firstLine="720"/>
        <w:rPr>
          <w:rFonts w:ascii="Times New Roman" w:hAnsi="Times New Roman"/>
        </w:rPr>
      </w:pPr>
      <w:r w:rsidRPr="00923DD7">
        <w:rPr>
          <w:rFonts w:ascii="Times New Roman" w:hAnsi="Times New Roman"/>
        </w:rPr>
        <w:t>C</w:t>
      </w:r>
      <w:r w:rsidR="005E4577" w:rsidRPr="00923DD7">
        <w:rPr>
          <w:rFonts w:ascii="Times New Roman" w:hAnsi="Times New Roman"/>
        </w:rPr>
        <w:t>reating governance structures and processes that promote an integrated approach to the goals and targets will be critical to their delivery. Building the capacities to successfully use such governance structures and processes will have to be part of the effort.</w:t>
      </w:r>
      <w:r w:rsidR="006D0F20" w:rsidRPr="00923DD7">
        <w:rPr>
          <w:rFonts w:ascii="Times New Roman" w:hAnsi="Times New Roman"/>
        </w:rPr>
        <w:t xml:space="preserve"> Increasing communications and building relations among the different government department and at different scales of governments is essential in addressing the </w:t>
      </w:r>
      <w:r w:rsidR="007A571E" w:rsidRPr="00923DD7">
        <w:rPr>
          <w:rFonts w:ascii="Times New Roman" w:hAnsi="Times New Roman"/>
        </w:rPr>
        <w:t>interlinkages</w:t>
      </w:r>
      <w:r w:rsidR="006D0F20" w:rsidRPr="00923DD7">
        <w:rPr>
          <w:rFonts w:ascii="Times New Roman" w:hAnsi="Times New Roman"/>
        </w:rPr>
        <w:t xml:space="preserve"> and </w:t>
      </w:r>
      <w:r w:rsidR="007A571E" w:rsidRPr="00923DD7">
        <w:rPr>
          <w:rFonts w:ascii="Times New Roman" w:hAnsi="Times New Roman"/>
        </w:rPr>
        <w:t>challenges</w:t>
      </w:r>
      <w:r w:rsidR="006D0F20" w:rsidRPr="00923DD7">
        <w:rPr>
          <w:rFonts w:ascii="Times New Roman" w:hAnsi="Times New Roman"/>
        </w:rPr>
        <w:t xml:space="preserve"> of the SDGs.</w:t>
      </w:r>
    </w:p>
    <w:p w:rsidR="00AE138C" w:rsidRPr="00923DD7" w:rsidRDefault="00AE138C" w:rsidP="00923DD7">
      <w:pPr>
        <w:spacing w:after="280" w:line="240" w:lineRule="auto"/>
        <w:ind w:firstLine="720"/>
        <w:rPr>
          <w:rFonts w:ascii="Times New Roman" w:hAnsi="Times New Roman"/>
        </w:rPr>
      </w:pPr>
      <w:r w:rsidRPr="00923DD7">
        <w:rPr>
          <w:rFonts w:ascii="Times New Roman" w:hAnsi="Times New Roman"/>
        </w:rPr>
        <w:t xml:space="preserve">As well bridging the gap between policy makers and the scientific community will be essential for </w:t>
      </w:r>
      <w:r w:rsidR="007A571E" w:rsidRPr="00923DD7">
        <w:rPr>
          <w:rFonts w:ascii="Times New Roman" w:hAnsi="Times New Roman"/>
        </w:rPr>
        <w:t>informed decision</w:t>
      </w:r>
      <w:r w:rsidRPr="00923DD7">
        <w:rPr>
          <w:rFonts w:ascii="Times New Roman" w:hAnsi="Times New Roman"/>
        </w:rPr>
        <w:t xml:space="preserve">-making that would pave the way for sustainable development. </w:t>
      </w:r>
      <w:r w:rsidR="006D0F20" w:rsidRPr="00923DD7">
        <w:rPr>
          <w:rFonts w:ascii="Times New Roman" w:hAnsi="Times New Roman"/>
        </w:rPr>
        <w:t xml:space="preserve">Bridging such gap can facilitate innovative solutions to be implemented and increase the transfer and sharing of technologies from the scientific community to </w:t>
      </w:r>
      <w:r w:rsidR="007A571E" w:rsidRPr="00923DD7">
        <w:rPr>
          <w:rFonts w:ascii="Times New Roman" w:hAnsi="Times New Roman"/>
        </w:rPr>
        <w:t>governments</w:t>
      </w:r>
      <w:r w:rsidR="006D0F20" w:rsidRPr="00923DD7">
        <w:rPr>
          <w:rFonts w:ascii="Times New Roman" w:hAnsi="Times New Roman"/>
        </w:rPr>
        <w:t xml:space="preserve"> and to other stakeholders. Technology and information sharing will be crucial in delivering the SDGs, especially sharing technology and information with least develop communities can contribute to their sustainable development. </w:t>
      </w:r>
    </w:p>
    <w:p w:rsidR="006D0F20" w:rsidRPr="00923DD7" w:rsidRDefault="006D0F20" w:rsidP="00923DD7">
      <w:pPr>
        <w:spacing w:before="100" w:beforeAutospacing="1" w:after="100" w:afterAutospacing="1" w:line="240" w:lineRule="auto"/>
        <w:ind w:firstLine="720"/>
        <w:rPr>
          <w:rFonts w:ascii="Times New Roman" w:hAnsi="Times New Roman"/>
        </w:rPr>
      </w:pPr>
      <w:r w:rsidRPr="00923DD7">
        <w:rPr>
          <w:rFonts w:ascii="Times New Roman" w:hAnsi="Times New Roman"/>
        </w:rPr>
        <w:t xml:space="preserve">Finance and investment – be it public or private –  are crucial factors in shaping future development. It is essential that those responsible for directing those flows do so in a way that supports Nexus integration objectives, and abjures unsustainable investments assessed on old-fashioned narrow terms and based on short-term economic criteria. Financial incentives at national and global levels should examine innovative methods to better calibrate incentives to accelerate progress and to measure corporate contribution to the SDGs. </w:t>
      </w:r>
    </w:p>
    <w:p w:rsidR="00A63300" w:rsidRPr="00923DD7" w:rsidRDefault="00A63300" w:rsidP="00923DD7">
      <w:pPr>
        <w:spacing w:before="100" w:beforeAutospacing="1" w:after="100" w:afterAutospacing="1" w:line="240" w:lineRule="auto"/>
        <w:ind w:firstLine="720"/>
        <w:rPr>
          <w:rFonts w:ascii="Times New Roman" w:hAnsi="Times New Roman"/>
        </w:rPr>
      </w:pPr>
      <w:r w:rsidRPr="00923DD7">
        <w:rPr>
          <w:rFonts w:ascii="Times New Roman" w:hAnsi="Times New Roman"/>
        </w:rPr>
        <w:t xml:space="preserve">Trough the conference the importance of partnerships was highlighted. Multi-stakeholder partnerships and Public Private Partnerships are essential for the implementation of the SDGs as they required to include multiple delivering mechanism. </w:t>
      </w:r>
    </w:p>
    <w:p w:rsidR="00A63300" w:rsidRDefault="00A63300" w:rsidP="00923DD7">
      <w:pPr>
        <w:spacing w:before="100" w:beforeAutospacing="1" w:after="100" w:afterAutospacing="1" w:line="240" w:lineRule="auto"/>
        <w:ind w:firstLine="720"/>
        <w:rPr>
          <w:rFonts w:ascii="Times New Roman" w:hAnsi="Times New Roman"/>
        </w:rPr>
      </w:pPr>
      <w:r w:rsidRPr="00923DD7">
        <w:rPr>
          <w:rFonts w:ascii="Times New Roman" w:hAnsi="Times New Roman"/>
        </w:rPr>
        <w:t xml:space="preserve">The Nexus community is dedicating its work to implementing the 2030 Agenda in an integrated way as an essential path forward for securing a sustainable future. The conference demonstrated that there is a positive energy among the Nexus community who sees the sustainability challenges as opportunities </w:t>
      </w:r>
      <w:r w:rsidRPr="00923DD7">
        <w:rPr>
          <w:rFonts w:ascii="Times New Roman" w:hAnsi="Times New Roman"/>
        </w:rPr>
        <w:lastRenderedPageBreak/>
        <w:t xml:space="preserve">to increase knowledge, research, and community building. We hope that further Nexus-related research is supported so as to be able to keep contributing to transforming our world towards sustainability. </w:t>
      </w:r>
    </w:p>
    <w:p w:rsidR="00A97C59" w:rsidRDefault="00A97C59" w:rsidP="00923DD7">
      <w:pPr>
        <w:spacing w:before="100" w:beforeAutospacing="1" w:after="100" w:afterAutospacing="1" w:line="240" w:lineRule="auto"/>
        <w:ind w:firstLine="720"/>
        <w:rPr>
          <w:rFonts w:ascii="Times New Roman" w:hAnsi="Times New Roman"/>
        </w:rPr>
      </w:pPr>
    </w:p>
    <w:p w:rsidR="00A97C59" w:rsidRDefault="00A97C59" w:rsidP="00923DD7">
      <w:pPr>
        <w:spacing w:before="100" w:beforeAutospacing="1" w:after="100" w:afterAutospacing="1" w:line="240" w:lineRule="auto"/>
        <w:ind w:firstLine="720"/>
        <w:rPr>
          <w:rFonts w:ascii="Times New Roman" w:hAnsi="Times New Roman"/>
        </w:rPr>
      </w:pPr>
    </w:p>
    <w:p w:rsidR="00A97C59" w:rsidRDefault="00A97C59" w:rsidP="00923DD7">
      <w:pPr>
        <w:spacing w:before="100" w:beforeAutospacing="1" w:after="100" w:afterAutospacing="1" w:line="240" w:lineRule="auto"/>
        <w:ind w:firstLine="720"/>
        <w:rPr>
          <w:rFonts w:ascii="Times New Roman" w:hAnsi="Times New Roman"/>
        </w:rPr>
      </w:pPr>
    </w:p>
    <w:p w:rsidR="00A97C59" w:rsidRDefault="00A97C59" w:rsidP="00923DD7">
      <w:pPr>
        <w:spacing w:before="100" w:beforeAutospacing="1" w:after="100" w:afterAutospacing="1" w:line="240" w:lineRule="auto"/>
        <w:ind w:firstLine="720"/>
        <w:rPr>
          <w:rFonts w:ascii="Times New Roman" w:hAnsi="Times New Roman"/>
        </w:rPr>
      </w:pPr>
    </w:p>
    <w:p w:rsidR="00A97C59" w:rsidRDefault="00A97C59" w:rsidP="00923DD7">
      <w:pPr>
        <w:spacing w:before="100" w:beforeAutospacing="1" w:after="100" w:afterAutospacing="1" w:line="240" w:lineRule="auto"/>
        <w:ind w:firstLine="720"/>
        <w:rPr>
          <w:rFonts w:ascii="Times New Roman" w:hAnsi="Times New Roman"/>
        </w:rPr>
      </w:pPr>
    </w:p>
    <w:p w:rsidR="00A97C59" w:rsidRDefault="00A97C59" w:rsidP="00923DD7">
      <w:pPr>
        <w:spacing w:before="100" w:beforeAutospacing="1" w:after="100" w:afterAutospacing="1" w:line="240" w:lineRule="auto"/>
        <w:ind w:firstLine="720"/>
        <w:rPr>
          <w:rFonts w:ascii="Times New Roman" w:hAnsi="Times New Roman"/>
        </w:rPr>
      </w:pPr>
    </w:p>
    <w:p w:rsidR="00A97C59" w:rsidRDefault="00A97C59" w:rsidP="00923DD7">
      <w:pPr>
        <w:spacing w:before="100" w:beforeAutospacing="1" w:after="100" w:afterAutospacing="1" w:line="240" w:lineRule="auto"/>
        <w:ind w:firstLine="720"/>
        <w:rPr>
          <w:rFonts w:ascii="Times New Roman" w:hAnsi="Times New Roman"/>
        </w:rPr>
      </w:pPr>
    </w:p>
    <w:p w:rsidR="00A97C59" w:rsidRDefault="00A97C59" w:rsidP="00923DD7">
      <w:pPr>
        <w:spacing w:before="100" w:beforeAutospacing="1" w:after="100" w:afterAutospacing="1" w:line="240" w:lineRule="auto"/>
        <w:ind w:firstLine="720"/>
        <w:rPr>
          <w:rFonts w:ascii="Times New Roman" w:hAnsi="Times New Roman"/>
        </w:rPr>
      </w:pPr>
    </w:p>
    <w:p w:rsidR="00A97C59" w:rsidRDefault="00A97C59" w:rsidP="00923DD7">
      <w:pPr>
        <w:spacing w:before="100" w:beforeAutospacing="1" w:after="100" w:afterAutospacing="1" w:line="240" w:lineRule="auto"/>
        <w:ind w:firstLine="720"/>
        <w:rPr>
          <w:rFonts w:ascii="Times New Roman" w:hAnsi="Times New Roman"/>
        </w:rPr>
      </w:pPr>
    </w:p>
    <w:p w:rsidR="00A97C59" w:rsidRDefault="00A97C59" w:rsidP="00923DD7">
      <w:pPr>
        <w:spacing w:before="100" w:beforeAutospacing="1" w:after="100" w:afterAutospacing="1" w:line="240" w:lineRule="auto"/>
        <w:ind w:firstLine="720"/>
        <w:rPr>
          <w:rFonts w:ascii="Times New Roman" w:hAnsi="Times New Roman"/>
        </w:rPr>
      </w:pPr>
    </w:p>
    <w:p w:rsidR="00A97C59" w:rsidRDefault="00A97C59" w:rsidP="00923DD7">
      <w:pPr>
        <w:spacing w:before="100" w:beforeAutospacing="1" w:after="100" w:afterAutospacing="1" w:line="240" w:lineRule="auto"/>
        <w:ind w:firstLine="720"/>
        <w:rPr>
          <w:rFonts w:ascii="Times New Roman" w:hAnsi="Times New Roman"/>
        </w:rPr>
      </w:pPr>
    </w:p>
    <w:p w:rsidR="00533C5A" w:rsidRDefault="00533C5A" w:rsidP="00A97C59">
      <w:pPr>
        <w:rPr>
          <w:b/>
        </w:rPr>
      </w:pPr>
    </w:p>
    <w:p w:rsidR="00533C5A" w:rsidRDefault="00533C5A" w:rsidP="00A97C59">
      <w:pPr>
        <w:rPr>
          <w:b/>
        </w:rPr>
      </w:pPr>
    </w:p>
    <w:p w:rsidR="00533C5A" w:rsidRDefault="00533C5A" w:rsidP="00A97C59">
      <w:pPr>
        <w:rPr>
          <w:b/>
        </w:rPr>
      </w:pPr>
    </w:p>
    <w:p w:rsidR="00533C5A" w:rsidRDefault="00533C5A" w:rsidP="00A97C59">
      <w:pPr>
        <w:rPr>
          <w:b/>
        </w:rPr>
      </w:pPr>
    </w:p>
    <w:p w:rsidR="00533C5A" w:rsidRDefault="00533C5A" w:rsidP="00A97C59">
      <w:pPr>
        <w:rPr>
          <w:b/>
        </w:rPr>
      </w:pPr>
    </w:p>
    <w:p w:rsidR="00533C5A" w:rsidRDefault="00533C5A" w:rsidP="00A97C59">
      <w:pPr>
        <w:rPr>
          <w:b/>
        </w:rPr>
      </w:pPr>
    </w:p>
    <w:p w:rsidR="00533C5A" w:rsidRDefault="00533C5A" w:rsidP="00A97C59">
      <w:pPr>
        <w:rPr>
          <w:b/>
        </w:rPr>
      </w:pPr>
    </w:p>
    <w:p w:rsidR="00533C5A" w:rsidRDefault="00533C5A" w:rsidP="00A97C59">
      <w:pPr>
        <w:rPr>
          <w:b/>
        </w:rPr>
      </w:pPr>
    </w:p>
    <w:p w:rsidR="00533C5A" w:rsidRDefault="00533C5A" w:rsidP="00A97C59">
      <w:pPr>
        <w:rPr>
          <w:b/>
        </w:rPr>
      </w:pPr>
    </w:p>
    <w:p w:rsidR="00533C5A" w:rsidRDefault="00533C5A" w:rsidP="00A97C59">
      <w:pPr>
        <w:rPr>
          <w:b/>
        </w:rPr>
      </w:pPr>
    </w:p>
    <w:p w:rsidR="00533C5A" w:rsidRDefault="00533C5A" w:rsidP="00A97C59">
      <w:pPr>
        <w:rPr>
          <w:b/>
        </w:rPr>
      </w:pPr>
    </w:p>
    <w:p w:rsidR="00533C5A" w:rsidRDefault="00533C5A" w:rsidP="00A97C59">
      <w:pPr>
        <w:rPr>
          <w:b/>
        </w:rPr>
      </w:pPr>
    </w:p>
    <w:p w:rsidR="00533C5A" w:rsidRDefault="00533C5A" w:rsidP="00A97C59">
      <w:pPr>
        <w:rPr>
          <w:b/>
        </w:rPr>
      </w:pPr>
    </w:p>
    <w:p w:rsidR="00533C5A" w:rsidRDefault="00533C5A" w:rsidP="00A97C59">
      <w:pPr>
        <w:rPr>
          <w:b/>
        </w:rPr>
      </w:pPr>
    </w:p>
    <w:p w:rsidR="00533C5A" w:rsidRDefault="00A97C59" w:rsidP="00533C5A">
      <w:pPr>
        <w:pStyle w:val="Heading1"/>
        <w:rPr>
          <w:rFonts w:ascii="Times New Roman" w:hAnsi="Times New Roman" w:cs="Times New Roman"/>
          <w:b/>
          <w:color w:val="auto"/>
          <w:sz w:val="24"/>
        </w:rPr>
      </w:pPr>
      <w:bookmarkStart w:id="58" w:name="_Toc512269716"/>
      <w:r w:rsidRPr="00533C5A">
        <w:rPr>
          <w:rFonts w:ascii="Times New Roman" w:hAnsi="Times New Roman" w:cs="Times New Roman"/>
          <w:b/>
          <w:color w:val="auto"/>
          <w:sz w:val="24"/>
        </w:rPr>
        <w:lastRenderedPageBreak/>
        <w:t>Appendix 1: Nexus Tools</w:t>
      </w:r>
      <w:bookmarkEnd w:id="58"/>
    </w:p>
    <w:p w:rsidR="00A97C59" w:rsidRPr="00533C5A" w:rsidRDefault="00A97C59" w:rsidP="00533C5A">
      <w:pPr>
        <w:pStyle w:val="Heading1"/>
        <w:rPr>
          <w:rFonts w:ascii="Times New Roman" w:hAnsi="Times New Roman" w:cs="Times New Roman"/>
          <w:b/>
          <w:color w:val="auto"/>
          <w:sz w:val="24"/>
        </w:rPr>
      </w:pPr>
      <w:r w:rsidRPr="00533C5A">
        <w:rPr>
          <w:rFonts w:ascii="Times New Roman" w:hAnsi="Times New Roman" w:cs="Times New Roman"/>
          <w:b/>
          <w:color w:val="auto"/>
          <w:sz w:val="24"/>
        </w:rPr>
        <w:t xml:space="preserve"> </w:t>
      </w:r>
    </w:p>
    <w:tbl>
      <w:tblPr>
        <w:tblStyle w:val="TableGrid"/>
        <w:tblW w:w="9548" w:type="dxa"/>
        <w:tblLook w:val="04A0" w:firstRow="1" w:lastRow="0" w:firstColumn="1" w:lastColumn="0" w:noHBand="0" w:noVBand="1"/>
      </w:tblPr>
      <w:tblGrid>
        <w:gridCol w:w="9548"/>
      </w:tblGrid>
      <w:tr w:rsidR="00A97C59" w:rsidTr="00581081">
        <w:trPr>
          <w:trHeight w:val="1205"/>
        </w:trPr>
        <w:tc>
          <w:tcPr>
            <w:tcW w:w="9548" w:type="dxa"/>
          </w:tcPr>
          <w:p w:rsidR="00A97C59" w:rsidRPr="00DE7E1D" w:rsidRDefault="00A97C59" w:rsidP="00581081">
            <w:pPr>
              <w:rPr>
                <w:rFonts w:ascii="Times New Roman" w:hAnsi="Times New Roman"/>
              </w:rPr>
            </w:pPr>
            <w:r w:rsidRPr="00DE7E1D">
              <w:rPr>
                <w:rFonts w:ascii="Times New Roman" w:hAnsi="Times New Roman"/>
                <w:b/>
              </w:rPr>
              <w:t>Wastewater Reuse Effectiveness Index (WREI):</w:t>
            </w:r>
            <w:r w:rsidRPr="00DE7E1D">
              <w:rPr>
                <w:rFonts w:ascii="Times New Roman" w:hAnsi="Times New Roman"/>
              </w:rPr>
              <w:t xml:space="preserve">  </w:t>
            </w:r>
          </w:p>
          <w:p w:rsidR="00A97C59" w:rsidRPr="00DE7E1D" w:rsidRDefault="00A97C59" w:rsidP="00581081">
            <w:pPr>
              <w:rPr>
                <w:rFonts w:ascii="Times New Roman" w:hAnsi="Times New Roman"/>
              </w:rPr>
            </w:pPr>
            <w:r w:rsidRPr="00DE7E1D">
              <w:rPr>
                <w:rFonts w:ascii="Times New Roman" w:hAnsi="Times New Roman"/>
              </w:rPr>
              <w:t xml:space="preserve">A monitoring tool that aggregates bio-physical, institutional and socio-economic data to track effective response by Member States to risks that arise from inaction or rebound effects of developmental interventions spanning sectors as diverse as water quality, public health, groundwater management and public financing of infrastructure projects. </w:t>
            </w:r>
          </w:p>
          <w:p w:rsidR="00A97C59" w:rsidRPr="00DE7E1D" w:rsidRDefault="00A97C59" w:rsidP="00581081">
            <w:pPr>
              <w:rPr>
                <w:rFonts w:ascii="Times New Roman" w:hAnsi="Times New Roman"/>
              </w:rPr>
            </w:pPr>
            <w:r w:rsidRPr="00DE7E1D">
              <w:rPr>
                <w:rFonts w:ascii="Times New Roman" w:hAnsi="Times New Roman"/>
              </w:rPr>
              <w:t>The United Nations University (UNU) Sustainable Development Goal (SDG) Explorer features WREI as an example of how the science-policy divide can be bridged based on robust partnerships between UNHABITAT (custodian agency for SDG Target 6.3), Member states and the scientific community in Africa, Europe, Asia and South America</w:t>
            </w:r>
            <w:r w:rsidRPr="00DE7E1D">
              <w:rPr>
                <w:rStyle w:val="FootnoteReference"/>
                <w:rFonts w:ascii="Times New Roman" w:hAnsi="Times New Roman"/>
                <w:sz w:val="24"/>
              </w:rPr>
              <w:footnoteReference w:id="1"/>
            </w:r>
            <w:r w:rsidRPr="00DE7E1D">
              <w:rPr>
                <w:rFonts w:ascii="Times New Roman" w:hAnsi="Times New Roman"/>
              </w:rPr>
              <w:t>.</w:t>
            </w:r>
          </w:p>
        </w:tc>
      </w:tr>
      <w:tr w:rsidR="00A97C59" w:rsidTr="00581081">
        <w:trPr>
          <w:trHeight w:val="1205"/>
        </w:trPr>
        <w:tc>
          <w:tcPr>
            <w:tcW w:w="9548" w:type="dxa"/>
          </w:tcPr>
          <w:p w:rsidR="00A97C59" w:rsidRPr="00DE7E1D" w:rsidRDefault="00A97C59" w:rsidP="00581081">
            <w:pPr>
              <w:rPr>
                <w:rFonts w:ascii="Times New Roman" w:hAnsi="Times New Roman"/>
                <w:b/>
              </w:rPr>
            </w:pPr>
            <w:r w:rsidRPr="00DE7E1D">
              <w:rPr>
                <w:rFonts w:ascii="Times New Roman" w:hAnsi="Times New Roman"/>
                <w:b/>
              </w:rPr>
              <w:t>Long-range Energy Alternatives Planning System (LEAP):</w:t>
            </w:r>
          </w:p>
          <w:p w:rsidR="00A97C59" w:rsidRPr="00DE7E1D" w:rsidRDefault="00A97C59" w:rsidP="00581081">
            <w:pPr>
              <w:rPr>
                <w:rFonts w:ascii="Times New Roman" w:hAnsi="Times New Roman"/>
              </w:rPr>
            </w:pPr>
            <w:r w:rsidRPr="00DE7E1D">
              <w:rPr>
                <w:rFonts w:ascii="Times New Roman" w:hAnsi="Times New Roman"/>
              </w:rPr>
              <w:t xml:space="preserve">Developed by the Stockholm Environment Institute (SEI). </w:t>
            </w:r>
          </w:p>
          <w:p w:rsidR="00A97C59" w:rsidRPr="00DE7E1D" w:rsidRDefault="00A97C59" w:rsidP="00581081">
            <w:pPr>
              <w:rPr>
                <w:rFonts w:ascii="Times New Roman" w:hAnsi="Times New Roman"/>
              </w:rPr>
            </w:pPr>
            <w:r w:rsidRPr="00DE7E1D">
              <w:rPr>
                <w:rFonts w:ascii="Times New Roman" w:hAnsi="Times New Roman"/>
              </w:rPr>
              <w:t>Is a powerful and versatile software system, issued for modeling of integrated energy planning and climate change mitigation assessments</w:t>
            </w:r>
            <w:r w:rsidRPr="00DE7E1D">
              <w:rPr>
                <w:rStyle w:val="FootnoteReference"/>
                <w:rFonts w:ascii="Times New Roman" w:hAnsi="Times New Roman"/>
                <w:sz w:val="24"/>
              </w:rPr>
              <w:footnoteReference w:id="2"/>
            </w:r>
            <w:r w:rsidRPr="00DE7E1D">
              <w:rPr>
                <w:rFonts w:ascii="Times New Roman" w:hAnsi="Times New Roman"/>
                <w:sz w:val="24"/>
              </w:rPr>
              <w:t>.</w:t>
            </w:r>
            <w:r w:rsidRPr="00DE7E1D">
              <w:rPr>
                <w:rFonts w:ascii="Times New Roman" w:hAnsi="Times New Roman"/>
              </w:rPr>
              <w:t xml:space="preserve"> </w:t>
            </w:r>
          </w:p>
        </w:tc>
      </w:tr>
      <w:tr w:rsidR="00A97C59" w:rsidTr="00581081">
        <w:trPr>
          <w:trHeight w:val="1128"/>
        </w:trPr>
        <w:tc>
          <w:tcPr>
            <w:tcW w:w="9548" w:type="dxa"/>
          </w:tcPr>
          <w:p w:rsidR="00A97C59" w:rsidRPr="00DE7E1D" w:rsidRDefault="00A97C59" w:rsidP="00581081">
            <w:pPr>
              <w:rPr>
                <w:rFonts w:ascii="Times New Roman" w:hAnsi="Times New Roman"/>
                <w:b/>
              </w:rPr>
            </w:pPr>
            <w:r w:rsidRPr="00DE7E1D">
              <w:rPr>
                <w:rFonts w:ascii="Times New Roman" w:hAnsi="Times New Roman"/>
                <w:b/>
              </w:rPr>
              <w:t xml:space="preserve">Water Evaluation and Planning System (WEAP): </w:t>
            </w:r>
          </w:p>
          <w:p w:rsidR="00A97C59" w:rsidRPr="00DE7E1D" w:rsidRDefault="00A97C59" w:rsidP="00581081">
            <w:pPr>
              <w:rPr>
                <w:rFonts w:ascii="Times New Roman" w:hAnsi="Times New Roman"/>
              </w:rPr>
            </w:pPr>
            <w:r w:rsidRPr="00DE7E1D">
              <w:rPr>
                <w:rFonts w:ascii="Times New Roman" w:hAnsi="Times New Roman"/>
              </w:rPr>
              <w:t>Developed by SEI. It is a software tool for integrated water resources planning. It provided a comprehensive, versatile and user-friendly framework for policy analysis</w:t>
            </w:r>
            <w:r w:rsidRPr="00DE7E1D">
              <w:rPr>
                <w:rStyle w:val="FootnoteReference"/>
                <w:rFonts w:ascii="Times New Roman" w:hAnsi="Times New Roman"/>
                <w:sz w:val="24"/>
              </w:rPr>
              <w:footnoteReference w:id="3"/>
            </w:r>
            <w:r w:rsidRPr="00DE7E1D">
              <w:rPr>
                <w:rFonts w:ascii="Times New Roman" w:hAnsi="Times New Roman"/>
                <w:sz w:val="24"/>
              </w:rPr>
              <w:t>.</w:t>
            </w:r>
          </w:p>
          <w:p w:rsidR="00A97C59" w:rsidRPr="00DE7E1D" w:rsidRDefault="00A97C59" w:rsidP="00581081">
            <w:pPr>
              <w:rPr>
                <w:rFonts w:ascii="Times New Roman" w:hAnsi="Times New Roman"/>
                <w:b/>
              </w:rPr>
            </w:pPr>
          </w:p>
        </w:tc>
      </w:tr>
      <w:tr w:rsidR="00A97C59" w:rsidTr="00581081">
        <w:trPr>
          <w:trHeight w:val="1205"/>
        </w:trPr>
        <w:tc>
          <w:tcPr>
            <w:tcW w:w="9548" w:type="dxa"/>
          </w:tcPr>
          <w:p w:rsidR="00A97C59" w:rsidRPr="00DE7E1D" w:rsidRDefault="00A97C59" w:rsidP="00581081">
            <w:pPr>
              <w:rPr>
                <w:rFonts w:ascii="Times New Roman" w:hAnsi="Times New Roman"/>
                <w:b/>
              </w:rPr>
            </w:pPr>
            <w:r w:rsidRPr="00DE7E1D">
              <w:rPr>
                <w:rFonts w:ascii="Times New Roman" w:hAnsi="Times New Roman"/>
                <w:b/>
              </w:rPr>
              <w:t xml:space="preserve"> Energy Portfolio Assessment Tool (EPAT): </w:t>
            </w:r>
          </w:p>
          <w:p w:rsidR="00A97C59" w:rsidRPr="00DE7E1D" w:rsidRDefault="00A97C59" w:rsidP="00581081">
            <w:pPr>
              <w:spacing w:line="240" w:lineRule="auto"/>
              <w:rPr>
                <w:rFonts w:ascii="Times New Roman" w:hAnsi="Times New Roman"/>
              </w:rPr>
            </w:pPr>
            <w:r w:rsidRPr="00DE7E1D">
              <w:rPr>
                <w:rFonts w:ascii="Times New Roman" w:hAnsi="Times New Roman"/>
              </w:rPr>
              <w:t>Developed by academics Ahmed M. Mroue , Rabi H. Mohtar, Efstratios N.</w:t>
            </w:r>
          </w:p>
          <w:p w:rsidR="00A97C59" w:rsidRPr="00DE7E1D" w:rsidRDefault="00A97C59" w:rsidP="00581081">
            <w:pPr>
              <w:rPr>
                <w:rFonts w:ascii="Times New Roman" w:hAnsi="Times New Roman"/>
              </w:rPr>
            </w:pPr>
            <w:r w:rsidRPr="00DE7E1D">
              <w:rPr>
                <w:rFonts w:ascii="Times New Roman" w:hAnsi="Times New Roman"/>
              </w:rPr>
              <w:t xml:space="preserve">Pistikopoulos, and Mark T. Holtzapple from the Texas A&amp;M University. </w:t>
            </w:r>
          </w:p>
          <w:p w:rsidR="00A97C59" w:rsidRPr="00DE7E1D" w:rsidRDefault="00A97C59" w:rsidP="00581081">
            <w:pPr>
              <w:spacing w:line="240" w:lineRule="auto"/>
              <w:rPr>
                <w:rFonts w:ascii="Times New Roman" w:hAnsi="Times New Roman"/>
              </w:rPr>
            </w:pPr>
            <w:r w:rsidRPr="00DE7E1D">
              <w:rPr>
                <w:rFonts w:ascii="Times New Roman" w:hAnsi="Times New Roman"/>
              </w:rPr>
              <w:t>Their research, “identifies the links between energy and other systems (water, land, environment, economics, etc.), and measures the impact of energy portfolios, to offer a solid foundation for the best sustainable decision making in energy planning. The paper presents a scenario-based holistic nexus tool, Energy Portfolio Assessment Tool (EPAT), which provides a platform for energy stakeholders and</w:t>
            </w:r>
          </w:p>
          <w:p w:rsidR="00A97C59" w:rsidRPr="00DE7E1D" w:rsidRDefault="00A97C59" w:rsidP="00581081">
            <w:pPr>
              <w:spacing w:line="240" w:lineRule="auto"/>
              <w:rPr>
                <w:rFonts w:ascii="Times New Roman" w:hAnsi="Times New Roman"/>
              </w:rPr>
            </w:pPr>
            <w:r w:rsidRPr="00DE7E1D">
              <w:rPr>
                <w:rFonts w:ascii="Times New Roman" w:hAnsi="Times New Roman"/>
              </w:rPr>
              <w:t>policymakers to create and evaluate the sustainability of various scenarios based on the</w:t>
            </w:r>
          </w:p>
          <w:p w:rsidR="00A97C59" w:rsidRPr="00DE7E1D" w:rsidRDefault="00A97C59" w:rsidP="00581081">
            <w:pPr>
              <w:rPr>
                <w:rFonts w:ascii="Times New Roman" w:hAnsi="Times New Roman"/>
              </w:rPr>
            </w:pPr>
            <w:r w:rsidRPr="00DE7E1D">
              <w:rPr>
                <w:rFonts w:ascii="Times New Roman" w:hAnsi="Times New Roman"/>
              </w:rPr>
              <w:t>water-energy- food (WEF) nexus approach.”</w:t>
            </w:r>
          </w:p>
          <w:p w:rsidR="00A97C59" w:rsidRPr="00DE7E1D" w:rsidRDefault="00A97C59" w:rsidP="00581081">
            <w:pPr>
              <w:spacing w:line="240" w:lineRule="auto"/>
              <w:rPr>
                <w:rFonts w:ascii="Times New Roman" w:hAnsi="Times New Roman"/>
              </w:rPr>
            </w:pPr>
            <w:r w:rsidRPr="00DE7E1D">
              <w:rPr>
                <w:rFonts w:ascii="Times New Roman" w:hAnsi="Times New Roman"/>
              </w:rPr>
              <w:t>“The Energy Portfolio Assessment Tool (EPAT) was developed using the Water-Energy- Food</w:t>
            </w:r>
          </w:p>
          <w:p w:rsidR="00A97C59" w:rsidRPr="00DE7E1D" w:rsidRDefault="00A97C59" w:rsidP="00581081">
            <w:pPr>
              <w:spacing w:line="240" w:lineRule="auto"/>
              <w:rPr>
                <w:rFonts w:ascii="Times New Roman" w:hAnsi="Times New Roman"/>
              </w:rPr>
            </w:pPr>
            <w:r w:rsidRPr="00DE7E1D">
              <w:rPr>
                <w:rFonts w:ascii="Times New Roman" w:hAnsi="Times New Roman"/>
              </w:rPr>
              <w:t>(WEF) Nexus systemic approach to address integrated energy portfolio systems as an</w:t>
            </w:r>
          </w:p>
          <w:p w:rsidR="00A97C59" w:rsidRPr="00DE7E1D" w:rsidRDefault="00A97C59" w:rsidP="00581081">
            <w:pPr>
              <w:spacing w:line="240" w:lineRule="auto"/>
              <w:rPr>
                <w:rFonts w:ascii="Times New Roman" w:hAnsi="Times New Roman"/>
              </w:rPr>
            </w:pPr>
            <w:r w:rsidRPr="00DE7E1D">
              <w:rPr>
                <w:rFonts w:ascii="Times New Roman" w:hAnsi="Times New Roman"/>
              </w:rPr>
              <w:t>alternative to the ’silo’ approach, and tackles the associated environmental and economic</w:t>
            </w:r>
          </w:p>
          <w:p w:rsidR="00A97C59" w:rsidRPr="00DE7E1D" w:rsidRDefault="00A97C59" w:rsidP="00581081">
            <w:pPr>
              <w:spacing w:line="240" w:lineRule="auto"/>
              <w:rPr>
                <w:rFonts w:ascii="Times New Roman" w:hAnsi="Times New Roman"/>
              </w:rPr>
            </w:pPr>
            <w:r w:rsidRPr="00DE7E1D">
              <w:rPr>
                <w:rFonts w:ascii="Times New Roman" w:hAnsi="Times New Roman"/>
              </w:rPr>
              <w:t>systems. EPAT is a scenario-based tool that enables policymakers to create energy portfolio</w:t>
            </w:r>
          </w:p>
          <w:p w:rsidR="00A97C59" w:rsidRPr="00DE7E1D" w:rsidRDefault="00A97C59" w:rsidP="00581081">
            <w:pPr>
              <w:spacing w:line="240" w:lineRule="auto"/>
              <w:rPr>
                <w:rFonts w:ascii="Times New Roman" w:hAnsi="Times New Roman"/>
              </w:rPr>
            </w:pPr>
            <w:r w:rsidRPr="00DE7E1D">
              <w:rPr>
                <w:rFonts w:ascii="Times New Roman" w:hAnsi="Times New Roman"/>
              </w:rPr>
              <w:t>scenarios, using various energy and electricity sources/technologies, and then evaluate its</w:t>
            </w:r>
          </w:p>
          <w:p w:rsidR="00A97C59" w:rsidRPr="00DE7E1D" w:rsidRDefault="00A97C59" w:rsidP="00581081">
            <w:pPr>
              <w:spacing w:line="240" w:lineRule="auto"/>
              <w:rPr>
                <w:rFonts w:ascii="Times New Roman" w:hAnsi="Times New Roman"/>
              </w:rPr>
            </w:pPr>
            <w:r w:rsidRPr="00DE7E1D">
              <w:rPr>
                <w:rFonts w:ascii="Times New Roman" w:hAnsi="Times New Roman"/>
              </w:rPr>
              <w:t>environmental and economic trade-offs sustainability. The tool assesses various energy</w:t>
            </w:r>
          </w:p>
          <w:p w:rsidR="00A97C59" w:rsidRPr="00DE7E1D" w:rsidRDefault="00A97C59" w:rsidP="00581081">
            <w:pPr>
              <w:spacing w:line="240" w:lineRule="auto"/>
              <w:rPr>
                <w:rFonts w:ascii="Times New Roman" w:hAnsi="Times New Roman"/>
              </w:rPr>
            </w:pPr>
            <w:r w:rsidRPr="00DE7E1D">
              <w:rPr>
                <w:rFonts w:ascii="Times New Roman" w:hAnsi="Times New Roman"/>
              </w:rPr>
              <w:t>portfolio options, taking as input energy production and electricity generation mix (in Giga</w:t>
            </w:r>
          </w:p>
          <w:p w:rsidR="00A97C59" w:rsidRPr="00DE7E1D" w:rsidRDefault="00A97C59" w:rsidP="00581081">
            <w:pPr>
              <w:spacing w:line="240" w:lineRule="auto"/>
              <w:rPr>
                <w:rFonts w:ascii="Times New Roman" w:hAnsi="Times New Roman"/>
              </w:rPr>
            </w:pPr>
            <w:r w:rsidRPr="00DE7E1D">
              <w:rPr>
                <w:rFonts w:ascii="Times New Roman" w:hAnsi="Times New Roman"/>
              </w:rPr>
              <w:t>Joules), and generating quantitative parameters in terms of water withdrawal and</w:t>
            </w:r>
          </w:p>
          <w:p w:rsidR="00A97C59" w:rsidRPr="00DE7E1D" w:rsidRDefault="00A97C59" w:rsidP="00581081">
            <w:pPr>
              <w:spacing w:line="240" w:lineRule="auto"/>
              <w:rPr>
                <w:rFonts w:ascii="Times New Roman" w:hAnsi="Times New Roman"/>
              </w:rPr>
            </w:pPr>
            <w:r w:rsidRPr="00DE7E1D">
              <w:rPr>
                <w:rFonts w:ascii="Times New Roman" w:hAnsi="Times New Roman"/>
              </w:rPr>
              <w:t>consumption (Million Gallons), economics of energy and electricity (US Dollars), carbon</w:t>
            </w:r>
          </w:p>
          <w:p w:rsidR="00A97C59" w:rsidRPr="00DE7E1D" w:rsidRDefault="00A97C59" w:rsidP="00581081">
            <w:pPr>
              <w:rPr>
                <w:rFonts w:ascii="Times New Roman" w:hAnsi="Times New Roman"/>
              </w:rPr>
            </w:pPr>
            <w:r w:rsidRPr="00DE7E1D">
              <w:rPr>
                <w:rFonts w:ascii="Times New Roman" w:hAnsi="Times New Roman"/>
              </w:rPr>
              <w:t>emissions (Ton CO 2 ), and land required (km 2 )”</w:t>
            </w:r>
            <w:r w:rsidRPr="00DE7E1D">
              <w:rPr>
                <w:rStyle w:val="FootnoteReference"/>
                <w:rFonts w:ascii="Times New Roman" w:hAnsi="Times New Roman"/>
                <w:sz w:val="24"/>
              </w:rPr>
              <w:footnoteReference w:id="4"/>
            </w:r>
            <w:r>
              <w:rPr>
                <w:rFonts w:ascii="Times New Roman" w:hAnsi="Times New Roman"/>
              </w:rPr>
              <w:t>.</w:t>
            </w:r>
          </w:p>
          <w:p w:rsidR="00A97C59" w:rsidRPr="00DE7E1D" w:rsidRDefault="00A97C59" w:rsidP="00581081">
            <w:pPr>
              <w:rPr>
                <w:rFonts w:ascii="Times New Roman" w:hAnsi="Times New Roman"/>
              </w:rPr>
            </w:pPr>
          </w:p>
        </w:tc>
      </w:tr>
      <w:tr w:rsidR="00A97C59" w:rsidTr="00581081">
        <w:trPr>
          <w:trHeight w:val="1205"/>
        </w:trPr>
        <w:tc>
          <w:tcPr>
            <w:tcW w:w="9548" w:type="dxa"/>
          </w:tcPr>
          <w:p w:rsidR="00A97C59" w:rsidRPr="00DE7E1D" w:rsidRDefault="00A97C59" w:rsidP="00581081">
            <w:pPr>
              <w:rPr>
                <w:b/>
              </w:rPr>
            </w:pPr>
            <w:r w:rsidRPr="00DE7E1D">
              <w:rPr>
                <w:b/>
              </w:rPr>
              <w:lastRenderedPageBreak/>
              <w:t xml:space="preserve">WEAP-LEAP Tool: </w:t>
            </w:r>
          </w:p>
          <w:p w:rsidR="00A97C59" w:rsidRDefault="00A97C59" w:rsidP="00581081">
            <w:r>
              <w:t xml:space="preserve">Combines both tools and it is a flexible toolkit that combines GIS based hydrological and temporal modelling that allows for water and energy related constrains to be capture </w:t>
            </w:r>
            <w:r w:rsidRPr="00DE7E1D">
              <w:rPr>
                <w:rStyle w:val="FootnoteReference"/>
                <w:sz w:val="24"/>
              </w:rPr>
              <w:footnoteReference w:id="5"/>
            </w:r>
            <w:r w:rsidRPr="00DE7E1D">
              <w:rPr>
                <w:sz w:val="24"/>
              </w:rPr>
              <w:t>.</w:t>
            </w:r>
            <w:r>
              <w:t xml:space="preserve"> </w:t>
            </w:r>
          </w:p>
        </w:tc>
      </w:tr>
      <w:tr w:rsidR="00A97C59" w:rsidTr="00581081">
        <w:trPr>
          <w:trHeight w:val="1205"/>
        </w:trPr>
        <w:tc>
          <w:tcPr>
            <w:tcW w:w="9548" w:type="dxa"/>
          </w:tcPr>
          <w:p w:rsidR="00A97C59" w:rsidRPr="00D45F03" w:rsidRDefault="00A97C59" w:rsidP="00581081">
            <w:pPr>
              <w:rPr>
                <w:b/>
              </w:rPr>
            </w:pPr>
            <w:r w:rsidRPr="00D45F03">
              <w:rPr>
                <w:b/>
              </w:rPr>
              <w:t>Water-Energy-Food Nexus Tool 2.0 (WEF Tool 2.0):</w:t>
            </w:r>
          </w:p>
          <w:p w:rsidR="00A97C59" w:rsidRDefault="00A97C59" w:rsidP="00581081">
            <w:r>
              <w:t>It is a Nexus Modelling tool that provides a platform for scientist and policy-makers to evaluate plausible scenarios and identify sustainable resource allocation strategies</w:t>
            </w:r>
            <w:r w:rsidRPr="00DE7E1D">
              <w:rPr>
                <w:rStyle w:val="FootnoteReference"/>
                <w:sz w:val="24"/>
              </w:rPr>
              <w:footnoteReference w:id="6"/>
            </w:r>
            <w:r>
              <w:t xml:space="preserve">. </w:t>
            </w:r>
          </w:p>
        </w:tc>
      </w:tr>
      <w:tr w:rsidR="00A97C59" w:rsidTr="00581081">
        <w:trPr>
          <w:trHeight w:val="1205"/>
        </w:trPr>
        <w:tc>
          <w:tcPr>
            <w:tcW w:w="9548" w:type="dxa"/>
          </w:tcPr>
          <w:p w:rsidR="00A97C59" w:rsidRPr="00DE7E1D" w:rsidRDefault="00A97C59" w:rsidP="00581081">
            <w:pPr>
              <w:rPr>
                <w:b/>
              </w:rPr>
            </w:pPr>
            <w:r w:rsidRPr="00DE7E1D">
              <w:rPr>
                <w:b/>
              </w:rPr>
              <w:t xml:space="preserve">Water-Energy-Transportation (WET): </w:t>
            </w:r>
          </w:p>
          <w:p w:rsidR="00A97C59" w:rsidRDefault="00A97C59" w:rsidP="00581081">
            <w:r>
              <w:t>The objective of this tool is to look at the interrelations and trade-offs between water, energy and transportation sectors under different scenarios tin a quantitate manner. It serves as an interactive planning tool for assessing the diverse impact of each possible scenario</w:t>
            </w:r>
            <w:r w:rsidRPr="00DE7E1D">
              <w:rPr>
                <w:rStyle w:val="FootnoteReference"/>
                <w:sz w:val="24"/>
              </w:rPr>
              <w:footnoteReference w:id="7"/>
            </w:r>
            <w:r w:rsidRPr="00DE7E1D">
              <w:rPr>
                <w:sz w:val="24"/>
              </w:rPr>
              <w:t>.</w:t>
            </w:r>
            <w:r>
              <w:t xml:space="preserve"> </w:t>
            </w:r>
          </w:p>
        </w:tc>
      </w:tr>
    </w:tbl>
    <w:p w:rsidR="00A97C59" w:rsidRPr="00923DD7" w:rsidRDefault="00A97C59" w:rsidP="00923DD7">
      <w:pPr>
        <w:spacing w:before="100" w:beforeAutospacing="1" w:after="100" w:afterAutospacing="1" w:line="240" w:lineRule="auto"/>
        <w:ind w:firstLine="720"/>
        <w:rPr>
          <w:rFonts w:ascii="Times New Roman" w:hAnsi="Times New Roman"/>
        </w:rPr>
      </w:pPr>
    </w:p>
    <w:p w:rsidR="00A63300" w:rsidRPr="00EE1DE4" w:rsidRDefault="00A63300" w:rsidP="006D0F20">
      <w:pPr>
        <w:spacing w:before="100" w:beforeAutospacing="1" w:after="100" w:afterAutospacing="1" w:line="240" w:lineRule="auto"/>
        <w:rPr>
          <w:rFonts w:ascii="Times New Roman" w:hAnsi="Times New Roman"/>
          <w:sz w:val="20"/>
          <w:szCs w:val="24"/>
        </w:rPr>
      </w:pPr>
    </w:p>
    <w:p w:rsidR="006D0F20" w:rsidRDefault="006D0F20" w:rsidP="00AE138C">
      <w:pPr>
        <w:spacing w:after="280" w:line="240" w:lineRule="auto"/>
        <w:ind w:firstLine="720"/>
        <w:rPr>
          <w:rFonts w:ascii="Times New Roman" w:hAnsi="Times New Roman"/>
          <w:sz w:val="24"/>
          <w:szCs w:val="24"/>
        </w:rPr>
      </w:pPr>
    </w:p>
    <w:p w:rsidR="006D0F20" w:rsidRPr="00AE138C" w:rsidRDefault="006D0F20" w:rsidP="00AE138C">
      <w:pPr>
        <w:spacing w:after="280" w:line="240" w:lineRule="auto"/>
        <w:ind w:firstLine="720"/>
        <w:rPr>
          <w:rFonts w:ascii="Times New Roman" w:hAnsi="Times New Roman"/>
          <w:sz w:val="20"/>
          <w:szCs w:val="24"/>
        </w:rPr>
      </w:pPr>
    </w:p>
    <w:p w:rsidR="00A01026" w:rsidRDefault="00A01026" w:rsidP="003E4D33">
      <w:pPr>
        <w:spacing w:after="280" w:line="240" w:lineRule="auto"/>
        <w:ind w:firstLine="720"/>
        <w:rPr>
          <w:rFonts w:ascii="Times New Roman" w:hAnsi="Times New Roman"/>
          <w:sz w:val="24"/>
          <w:szCs w:val="24"/>
        </w:rPr>
      </w:pPr>
    </w:p>
    <w:p w:rsidR="00A01026" w:rsidRDefault="00A01026" w:rsidP="003E4D33">
      <w:pPr>
        <w:spacing w:after="280" w:line="240" w:lineRule="auto"/>
        <w:ind w:firstLine="720"/>
        <w:rPr>
          <w:rFonts w:ascii="Times New Roman" w:hAnsi="Times New Roman"/>
          <w:sz w:val="24"/>
          <w:szCs w:val="24"/>
        </w:rPr>
      </w:pPr>
    </w:p>
    <w:p w:rsidR="005E4577" w:rsidRPr="00A81EB6" w:rsidRDefault="005E4577" w:rsidP="005E4577">
      <w:pPr>
        <w:rPr>
          <w:rFonts w:ascii="Times New Roman" w:hAnsi="Times New Roman"/>
          <w:sz w:val="24"/>
          <w:szCs w:val="24"/>
        </w:rPr>
      </w:pPr>
    </w:p>
    <w:bookmarkEnd w:id="47"/>
    <w:p w:rsidR="00A02432" w:rsidRPr="00A02432" w:rsidRDefault="00A02432" w:rsidP="00847E4B"/>
    <w:p w:rsidR="00A02432" w:rsidRPr="00A81EB6" w:rsidRDefault="00A02432" w:rsidP="00A02432">
      <w:pPr>
        <w:rPr>
          <w:rFonts w:ascii="Times New Roman" w:hAnsi="Times New Roman"/>
          <w:sz w:val="24"/>
          <w:szCs w:val="24"/>
        </w:rPr>
      </w:pPr>
    </w:p>
    <w:p w:rsidR="00790166" w:rsidRDefault="00790166"/>
    <w:sectPr w:rsidR="00790166" w:rsidSect="00847E4B">
      <w:headerReference w:type="default" r:id="rId14"/>
      <w:footerReference w:type="default" r:id="rId15"/>
      <w:pgSz w:w="12240" w:h="15840"/>
      <w:pgMar w:top="1440" w:right="1440" w:bottom="1440" w:left="1440"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5992" w:rsidRDefault="00275992" w:rsidP="003E4D33">
      <w:pPr>
        <w:spacing w:after="0" w:line="240" w:lineRule="auto"/>
      </w:pPr>
      <w:r>
        <w:separator/>
      </w:r>
    </w:p>
  </w:endnote>
  <w:endnote w:type="continuationSeparator" w:id="0">
    <w:p w:rsidR="00275992" w:rsidRDefault="00275992" w:rsidP="003E4D33">
      <w:pPr>
        <w:spacing w:after="0" w:line="240" w:lineRule="auto"/>
      </w:pPr>
      <w:r>
        <w:continuationSeparator/>
      </w:r>
    </w:p>
  </w:endnote>
  <w:endnote w:id="1">
    <w:p w:rsidR="00BA1414" w:rsidRDefault="00BA1414" w:rsidP="00385DBD">
      <w:pPr>
        <w:pStyle w:val="EndnoteText"/>
      </w:pPr>
      <w:r>
        <w:rPr>
          <w:rStyle w:val="EndnoteReference"/>
        </w:rPr>
        <w:endnoteRef/>
      </w:r>
      <w:r>
        <w:t xml:space="preserve"> Tier system to assess availability of the indicators</w:t>
      </w:r>
    </w:p>
    <w:p w:rsidR="00BA1414" w:rsidRDefault="00BA1414" w:rsidP="00385DBD">
      <w:pPr>
        <w:pStyle w:val="EndnoteText"/>
      </w:pPr>
      <w:r>
        <w:t>• Tier 1 – internationally agreed methods and data widely available 82 (35%)</w:t>
      </w:r>
    </w:p>
    <w:p w:rsidR="00BA1414" w:rsidRDefault="00BA1414" w:rsidP="00385DBD">
      <w:pPr>
        <w:pStyle w:val="EndnoteText"/>
      </w:pPr>
      <w:r>
        <w:t>• Tier 2 – agreed methods exist but data are not widely available 61 (26%)</w:t>
      </w:r>
    </w:p>
    <w:p w:rsidR="00BA1414" w:rsidRDefault="00BA1414" w:rsidP="00385DBD">
      <w:pPr>
        <w:pStyle w:val="EndnoteText"/>
      </w:pPr>
      <w:r>
        <w:t>• Tier 3 – no agreed methods, no data 84 (36%)</w:t>
      </w:r>
    </w:p>
    <w:p w:rsidR="00BA1414" w:rsidRDefault="00BA1414" w:rsidP="00385DBD">
      <w:pPr>
        <w:pStyle w:val="EndnoteText"/>
      </w:pPr>
      <w:r>
        <w:t>Multiple tiers 5 (2%)</w:t>
      </w:r>
    </w:p>
    <w:p w:rsidR="00A97C59" w:rsidRDefault="00A97C59" w:rsidP="00385DB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1631956"/>
      <w:docPartObj>
        <w:docPartGallery w:val="Page Numbers (Bottom of Page)"/>
        <w:docPartUnique/>
      </w:docPartObj>
    </w:sdtPr>
    <w:sdtEndPr>
      <w:rPr>
        <w:noProof/>
      </w:rPr>
    </w:sdtEndPr>
    <w:sdtContent>
      <w:p w:rsidR="00BA1414" w:rsidRDefault="00BA1414">
        <w:pPr>
          <w:pStyle w:val="Footer"/>
          <w:jc w:val="center"/>
        </w:pPr>
        <w:r>
          <w:fldChar w:fldCharType="begin"/>
        </w:r>
        <w:r>
          <w:instrText xml:space="preserve"> PAGE   \* MERGEFORMAT </w:instrText>
        </w:r>
        <w:r>
          <w:fldChar w:fldCharType="separate"/>
        </w:r>
        <w:r w:rsidR="006D7923">
          <w:rPr>
            <w:noProof/>
          </w:rPr>
          <w:t>1</w:t>
        </w:r>
        <w:r>
          <w:rPr>
            <w:noProof/>
          </w:rPr>
          <w:fldChar w:fldCharType="end"/>
        </w:r>
      </w:p>
    </w:sdtContent>
  </w:sdt>
  <w:p w:rsidR="00BA1414" w:rsidRDefault="00BA14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5992" w:rsidRDefault="00275992" w:rsidP="003E4D33">
      <w:pPr>
        <w:spacing w:after="0" w:line="240" w:lineRule="auto"/>
      </w:pPr>
      <w:r>
        <w:separator/>
      </w:r>
    </w:p>
  </w:footnote>
  <w:footnote w:type="continuationSeparator" w:id="0">
    <w:p w:rsidR="00275992" w:rsidRDefault="00275992" w:rsidP="003E4D33">
      <w:pPr>
        <w:spacing w:after="0" w:line="240" w:lineRule="auto"/>
      </w:pPr>
      <w:r>
        <w:continuationSeparator/>
      </w:r>
    </w:p>
  </w:footnote>
  <w:footnote w:id="1">
    <w:p w:rsidR="00A97C59" w:rsidRPr="00DE7E1D" w:rsidRDefault="00A97C59" w:rsidP="00A97C59">
      <w:pPr>
        <w:pStyle w:val="FootnoteText"/>
        <w:rPr>
          <w:rFonts w:ascii="Times New Roman" w:hAnsi="Times New Roman" w:cs="Times New Roman"/>
        </w:rPr>
      </w:pPr>
      <w:r>
        <w:rPr>
          <w:rStyle w:val="FootnoteReference"/>
        </w:rPr>
        <w:footnoteRef/>
      </w:r>
      <w:r>
        <w:t xml:space="preserve"> </w:t>
      </w:r>
      <w:r w:rsidRPr="00DE7E1D">
        <w:rPr>
          <w:rFonts w:ascii="Times New Roman" w:hAnsi="Times New Roman" w:cs="Times New Roman"/>
        </w:rPr>
        <w:t xml:space="preserve"> For further information please visit </w:t>
      </w:r>
      <w:hyperlink r:id="rId1" w:anchor="outline" w:history="1">
        <w:r w:rsidRPr="00DE7E1D">
          <w:rPr>
            <w:rStyle w:val="Hyperlink"/>
            <w:rFonts w:ascii="Times New Roman" w:hAnsi="Times New Roman" w:cs="Times New Roman"/>
          </w:rPr>
          <w:t>https://unu.edu/projects/wastewater-reuse-effectiveness-index.html#outline</w:t>
        </w:r>
      </w:hyperlink>
    </w:p>
  </w:footnote>
  <w:footnote w:id="2">
    <w:p w:rsidR="00A97C59" w:rsidRPr="00DE7E1D" w:rsidRDefault="00A97C59" w:rsidP="00A97C59">
      <w:pPr>
        <w:pStyle w:val="FootnoteText"/>
        <w:rPr>
          <w:rFonts w:ascii="Times New Roman" w:hAnsi="Times New Roman" w:cs="Times New Roman"/>
        </w:rPr>
      </w:pPr>
      <w:r w:rsidRPr="00DE7E1D">
        <w:rPr>
          <w:rStyle w:val="FootnoteReference"/>
          <w:rFonts w:ascii="Times New Roman" w:hAnsi="Times New Roman" w:cs="Times New Roman"/>
        </w:rPr>
        <w:footnoteRef/>
      </w:r>
      <w:r w:rsidRPr="00DE7E1D">
        <w:rPr>
          <w:rFonts w:ascii="Times New Roman" w:hAnsi="Times New Roman" w:cs="Times New Roman"/>
        </w:rPr>
        <w:t xml:space="preserve"> For further information see https://www.sei.org/projects-and-tools/tools/leap-long-range-energy-alternatives-planning-system/</w:t>
      </w:r>
    </w:p>
  </w:footnote>
  <w:footnote w:id="3">
    <w:p w:rsidR="00A97C59" w:rsidRPr="00DE7E1D" w:rsidRDefault="00A97C59" w:rsidP="00A97C59">
      <w:pPr>
        <w:pStyle w:val="FootnoteText"/>
        <w:rPr>
          <w:rFonts w:ascii="Times New Roman" w:hAnsi="Times New Roman" w:cs="Times New Roman"/>
        </w:rPr>
      </w:pPr>
      <w:r w:rsidRPr="00DE7E1D">
        <w:rPr>
          <w:rStyle w:val="FootnoteReference"/>
          <w:rFonts w:ascii="Times New Roman" w:hAnsi="Times New Roman" w:cs="Times New Roman"/>
        </w:rPr>
        <w:footnoteRef/>
      </w:r>
      <w:r w:rsidRPr="00DE7E1D">
        <w:rPr>
          <w:rFonts w:ascii="Times New Roman" w:hAnsi="Times New Roman" w:cs="Times New Roman"/>
        </w:rPr>
        <w:t xml:space="preserve"> For further information please visit https://www.sei.org/projects-and-tools/tools/weap/</w:t>
      </w:r>
    </w:p>
  </w:footnote>
  <w:footnote w:id="4">
    <w:p w:rsidR="00A97C59" w:rsidRPr="00DE7E1D" w:rsidRDefault="00A97C59" w:rsidP="00A97C59">
      <w:pPr>
        <w:spacing w:after="0" w:line="240" w:lineRule="auto"/>
        <w:rPr>
          <w:rFonts w:ascii="Times New Roman" w:hAnsi="Times New Roman"/>
          <w:sz w:val="20"/>
          <w:szCs w:val="20"/>
        </w:rPr>
      </w:pPr>
      <w:r w:rsidRPr="00DE7E1D">
        <w:rPr>
          <w:rStyle w:val="FootnoteReference"/>
          <w:rFonts w:ascii="Times New Roman" w:hAnsi="Times New Roman"/>
          <w:sz w:val="20"/>
          <w:szCs w:val="20"/>
        </w:rPr>
        <w:footnoteRef/>
      </w:r>
      <w:r w:rsidRPr="00DE7E1D">
        <w:rPr>
          <w:rFonts w:ascii="Times New Roman" w:hAnsi="Times New Roman"/>
          <w:sz w:val="20"/>
          <w:szCs w:val="20"/>
        </w:rPr>
        <w:t xml:space="preserve"> Ahmed M. Mroue, Rabi H. Mohtar, Efstratios N. Pistikopoulos, and Mark T. Holtzapple. 2018. “ENERGY PORTFOLIO ASSESSMENT TOOL (EPAT): Sustainable energy planning using the WEF nexus approach – Texas case.” Texas A&amp;M University. </w:t>
      </w:r>
    </w:p>
  </w:footnote>
  <w:footnote w:id="5">
    <w:p w:rsidR="00A97C59" w:rsidRPr="00DE7E1D" w:rsidRDefault="00A97C59" w:rsidP="00A97C59">
      <w:pPr>
        <w:pStyle w:val="FootnoteText"/>
        <w:rPr>
          <w:rFonts w:ascii="Times New Roman" w:hAnsi="Times New Roman" w:cs="Times New Roman"/>
        </w:rPr>
      </w:pPr>
      <w:r w:rsidRPr="00DE7E1D">
        <w:rPr>
          <w:rStyle w:val="FootnoteReference"/>
          <w:rFonts w:ascii="Times New Roman" w:hAnsi="Times New Roman" w:cs="Times New Roman"/>
        </w:rPr>
        <w:footnoteRef/>
      </w:r>
      <w:r w:rsidRPr="00DE7E1D">
        <w:rPr>
          <w:rFonts w:ascii="Times New Roman" w:hAnsi="Times New Roman" w:cs="Times New Roman"/>
        </w:rPr>
        <w:t xml:space="preserve"> For further information and case studies regarding this tool see: Energy System Analysis Group of the Royal Institute of Technology. “Tools for analyzing the water-food-energy-ecosystems nexus”. 2015. Retrieved from https://www.unece.org/fileadmin/DAM/env/water/nexus/Nexus_tools_final_for_web.pdf</w:t>
      </w:r>
    </w:p>
  </w:footnote>
  <w:footnote w:id="6">
    <w:p w:rsidR="00A97C59" w:rsidRPr="00DE7E1D" w:rsidRDefault="00A97C59" w:rsidP="00A97C59">
      <w:pPr>
        <w:pStyle w:val="FootnoteText"/>
        <w:rPr>
          <w:rFonts w:ascii="Times New Roman" w:hAnsi="Times New Roman" w:cs="Times New Roman"/>
        </w:rPr>
      </w:pPr>
      <w:r w:rsidRPr="00DE7E1D">
        <w:rPr>
          <w:rStyle w:val="FootnoteReference"/>
          <w:rFonts w:ascii="Times New Roman" w:hAnsi="Times New Roman" w:cs="Times New Roman"/>
        </w:rPr>
        <w:footnoteRef/>
      </w:r>
      <w:r w:rsidRPr="00DE7E1D">
        <w:rPr>
          <w:rFonts w:ascii="Times New Roman" w:hAnsi="Times New Roman" w:cs="Times New Roman"/>
        </w:rPr>
        <w:t xml:space="preserve">  Daher, Bassel T., &amp; Hohtar, Rabi, H. 2015.</w:t>
      </w:r>
      <w:r>
        <w:rPr>
          <w:rFonts w:ascii="Times New Roman" w:hAnsi="Times New Roman" w:cs="Times New Roman"/>
        </w:rPr>
        <w:t xml:space="preserve"> </w:t>
      </w:r>
      <w:r w:rsidRPr="00DE7E1D">
        <w:rPr>
          <w:rFonts w:ascii="Times New Roman" w:hAnsi="Times New Roman" w:cs="Times New Roman"/>
        </w:rPr>
        <w:t xml:space="preserve">“Water-Energy-Food Nexus Tool 2.0: Guiding Integrative Resource Planning and Decision-making.” Water International 40, no.5-6: 748-771.  </w:t>
      </w:r>
    </w:p>
  </w:footnote>
  <w:footnote w:id="7">
    <w:p w:rsidR="00A97C59" w:rsidRDefault="00A97C59" w:rsidP="00A97C59">
      <w:pPr>
        <w:pStyle w:val="FootnoteText"/>
      </w:pPr>
      <w:r w:rsidRPr="00DE7E1D">
        <w:rPr>
          <w:rStyle w:val="FootnoteReference"/>
          <w:rFonts w:ascii="Times New Roman" w:hAnsi="Times New Roman" w:cs="Times New Roman"/>
        </w:rPr>
        <w:footnoteRef/>
      </w:r>
      <w:r w:rsidRPr="00DE7E1D">
        <w:rPr>
          <w:rFonts w:ascii="Times New Roman" w:hAnsi="Times New Roman" w:cs="Times New Roman"/>
        </w:rPr>
        <w:t xml:space="preserve"> For more information see: http://www.wefnexustool.org/wef/background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414" w:rsidRPr="003E4D33" w:rsidRDefault="00BA1414" w:rsidP="003E4D33">
    <w:pPr>
      <w:pStyle w:val="Header"/>
      <w:ind w:left="-851" w:hanging="142"/>
      <w:rPr>
        <w:lang w:val="en-CA"/>
      </w:rPr>
    </w:pPr>
    <w:r>
      <w:rPr>
        <w:lang w:val="en-CA"/>
      </w:rPr>
      <w:t>Nexus Message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4392D"/>
    <w:multiLevelType w:val="hybridMultilevel"/>
    <w:tmpl w:val="F61C24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1C401F4"/>
    <w:multiLevelType w:val="hybridMultilevel"/>
    <w:tmpl w:val="5D560144"/>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2F835ECB"/>
    <w:multiLevelType w:val="multilevel"/>
    <w:tmpl w:val="D0E68418"/>
    <w:lvl w:ilvl="0">
      <w:start w:val="2"/>
      <w:numFmt w:val="decimal"/>
      <w:lvlText w:val="%1"/>
      <w:lvlJc w:val="left"/>
      <w:pPr>
        <w:ind w:left="360" w:hanging="360"/>
      </w:pPr>
      <w:rPr>
        <w:rFonts w:eastAsiaTheme="minorEastAsia" w:hint="default"/>
        <w:u w:val="none"/>
      </w:rPr>
    </w:lvl>
    <w:lvl w:ilvl="1">
      <w:start w:val="1"/>
      <w:numFmt w:val="decimal"/>
      <w:lvlText w:val="%1.%2"/>
      <w:lvlJc w:val="left"/>
      <w:pPr>
        <w:ind w:left="1637" w:hanging="360"/>
      </w:pPr>
      <w:rPr>
        <w:rFonts w:eastAsiaTheme="minorEastAsia" w:hint="default"/>
        <w:u w:val="none"/>
      </w:rPr>
    </w:lvl>
    <w:lvl w:ilvl="2">
      <w:start w:val="1"/>
      <w:numFmt w:val="decimal"/>
      <w:lvlText w:val="%1.%2.%3"/>
      <w:lvlJc w:val="left"/>
      <w:pPr>
        <w:ind w:left="3600" w:hanging="720"/>
      </w:pPr>
      <w:rPr>
        <w:rFonts w:eastAsiaTheme="minorEastAsia" w:hint="default"/>
        <w:u w:val="none"/>
      </w:rPr>
    </w:lvl>
    <w:lvl w:ilvl="3">
      <w:start w:val="1"/>
      <w:numFmt w:val="decimal"/>
      <w:lvlText w:val="%1.%2.%3.%4"/>
      <w:lvlJc w:val="left"/>
      <w:pPr>
        <w:ind w:left="5040" w:hanging="720"/>
      </w:pPr>
      <w:rPr>
        <w:rFonts w:eastAsiaTheme="minorEastAsia" w:hint="default"/>
        <w:u w:val="none"/>
      </w:rPr>
    </w:lvl>
    <w:lvl w:ilvl="4">
      <w:start w:val="1"/>
      <w:numFmt w:val="decimal"/>
      <w:lvlText w:val="%1.%2.%3.%4.%5"/>
      <w:lvlJc w:val="left"/>
      <w:pPr>
        <w:ind w:left="6840" w:hanging="1080"/>
      </w:pPr>
      <w:rPr>
        <w:rFonts w:eastAsiaTheme="minorEastAsia" w:hint="default"/>
        <w:u w:val="none"/>
      </w:rPr>
    </w:lvl>
    <w:lvl w:ilvl="5">
      <w:start w:val="1"/>
      <w:numFmt w:val="decimal"/>
      <w:lvlText w:val="%1.%2.%3.%4.%5.%6"/>
      <w:lvlJc w:val="left"/>
      <w:pPr>
        <w:ind w:left="8280" w:hanging="1080"/>
      </w:pPr>
      <w:rPr>
        <w:rFonts w:eastAsiaTheme="minorEastAsia" w:hint="default"/>
        <w:u w:val="none"/>
      </w:rPr>
    </w:lvl>
    <w:lvl w:ilvl="6">
      <w:start w:val="1"/>
      <w:numFmt w:val="decimal"/>
      <w:lvlText w:val="%1.%2.%3.%4.%5.%6.%7"/>
      <w:lvlJc w:val="left"/>
      <w:pPr>
        <w:ind w:left="10080" w:hanging="1440"/>
      </w:pPr>
      <w:rPr>
        <w:rFonts w:eastAsiaTheme="minorEastAsia" w:hint="default"/>
        <w:u w:val="none"/>
      </w:rPr>
    </w:lvl>
    <w:lvl w:ilvl="7">
      <w:start w:val="1"/>
      <w:numFmt w:val="decimal"/>
      <w:lvlText w:val="%1.%2.%3.%4.%5.%6.%7.%8"/>
      <w:lvlJc w:val="left"/>
      <w:pPr>
        <w:ind w:left="11520" w:hanging="1440"/>
      </w:pPr>
      <w:rPr>
        <w:rFonts w:eastAsiaTheme="minorEastAsia" w:hint="default"/>
        <w:u w:val="none"/>
      </w:rPr>
    </w:lvl>
    <w:lvl w:ilvl="8">
      <w:start w:val="1"/>
      <w:numFmt w:val="decimal"/>
      <w:lvlText w:val="%1.%2.%3.%4.%5.%6.%7.%8.%9"/>
      <w:lvlJc w:val="left"/>
      <w:pPr>
        <w:ind w:left="13320" w:hanging="1800"/>
      </w:pPr>
      <w:rPr>
        <w:rFonts w:eastAsiaTheme="minorEastAsia" w:hint="default"/>
        <w:u w:val="none"/>
      </w:rPr>
    </w:lvl>
  </w:abstractNum>
  <w:abstractNum w:abstractNumId="3" w15:restartNumberingAfterBreak="0">
    <w:nsid w:val="46520AB0"/>
    <w:multiLevelType w:val="multilevel"/>
    <w:tmpl w:val="6DA82DA2"/>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47B82CEA"/>
    <w:multiLevelType w:val="hybridMultilevel"/>
    <w:tmpl w:val="F104DE52"/>
    <w:lvl w:ilvl="0" w:tplc="A6B26EC2">
      <w:start w:val="1"/>
      <w:numFmt w:val="upperLetter"/>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632615F"/>
    <w:multiLevelType w:val="hybridMultilevel"/>
    <w:tmpl w:val="896EB69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6" w15:restartNumberingAfterBreak="0">
    <w:nsid w:val="69A653A0"/>
    <w:multiLevelType w:val="hybridMultilevel"/>
    <w:tmpl w:val="FD9029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FCA7B3A"/>
    <w:multiLevelType w:val="hybridMultilevel"/>
    <w:tmpl w:val="568ED8B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7D417478"/>
    <w:multiLevelType w:val="multilevel"/>
    <w:tmpl w:val="8758A3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7F913F59"/>
    <w:multiLevelType w:val="hybridMultilevel"/>
    <w:tmpl w:val="E056E0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xsjAyNDGzNDU2NDJV0lEKTi0uzszPAykwrAUAQhzdmSwAAAA="/>
  </w:docVars>
  <w:rsids>
    <w:rsidRoot w:val="00A02432"/>
    <w:rsid w:val="00053A3E"/>
    <w:rsid w:val="00061821"/>
    <w:rsid w:val="000A2024"/>
    <w:rsid w:val="000B7B74"/>
    <w:rsid w:val="00105F32"/>
    <w:rsid w:val="00114AD3"/>
    <w:rsid w:val="001420EC"/>
    <w:rsid w:val="001605CF"/>
    <w:rsid w:val="0017211A"/>
    <w:rsid w:val="0017787B"/>
    <w:rsid w:val="00197215"/>
    <w:rsid w:val="001B0EBB"/>
    <w:rsid w:val="001C3917"/>
    <w:rsid w:val="00200F59"/>
    <w:rsid w:val="002323DC"/>
    <w:rsid w:val="00261AF1"/>
    <w:rsid w:val="00275992"/>
    <w:rsid w:val="00290595"/>
    <w:rsid w:val="002D72FA"/>
    <w:rsid w:val="00301E4D"/>
    <w:rsid w:val="0032774D"/>
    <w:rsid w:val="003473B4"/>
    <w:rsid w:val="00384CE9"/>
    <w:rsid w:val="00385DBD"/>
    <w:rsid w:val="00386191"/>
    <w:rsid w:val="003A19E9"/>
    <w:rsid w:val="003C5CC8"/>
    <w:rsid w:val="003D55B9"/>
    <w:rsid w:val="003D776D"/>
    <w:rsid w:val="003E4D33"/>
    <w:rsid w:val="003E60F8"/>
    <w:rsid w:val="00404C4E"/>
    <w:rsid w:val="004071A9"/>
    <w:rsid w:val="00413BC2"/>
    <w:rsid w:val="00454286"/>
    <w:rsid w:val="0047301E"/>
    <w:rsid w:val="00480702"/>
    <w:rsid w:val="00497B8F"/>
    <w:rsid w:val="004A3786"/>
    <w:rsid w:val="004C6076"/>
    <w:rsid w:val="004E016E"/>
    <w:rsid w:val="004E10A4"/>
    <w:rsid w:val="004E27BE"/>
    <w:rsid w:val="004E441E"/>
    <w:rsid w:val="004F6B32"/>
    <w:rsid w:val="005111DC"/>
    <w:rsid w:val="00525360"/>
    <w:rsid w:val="00533C5A"/>
    <w:rsid w:val="00554B87"/>
    <w:rsid w:val="00566C0A"/>
    <w:rsid w:val="00573FDE"/>
    <w:rsid w:val="00574873"/>
    <w:rsid w:val="00581B64"/>
    <w:rsid w:val="00586D64"/>
    <w:rsid w:val="005934EB"/>
    <w:rsid w:val="005A2E2D"/>
    <w:rsid w:val="005B1BCD"/>
    <w:rsid w:val="005B53BC"/>
    <w:rsid w:val="005E4577"/>
    <w:rsid w:val="005F57BA"/>
    <w:rsid w:val="0061671F"/>
    <w:rsid w:val="006167F4"/>
    <w:rsid w:val="00616BDE"/>
    <w:rsid w:val="00654030"/>
    <w:rsid w:val="00677EE7"/>
    <w:rsid w:val="006C424A"/>
    <w:rsid w:val="006D0F20"/>
    <w:rsid w:val="006D7923"/>
    <w:rsid w:val="006E2916"/>
    <w:rsid w:val="007035EE"/>
    <w:rsid w:val="007345D0"/>
    <w:rsid w:val="007351B7"/>
    <w:rsid w:val="00743B70"/>
    <w:rsid w:val="00744172"/>
    <w:rsid w:val="007449B6"/>
    <w:rsid w:val="00756410"/>
    <w:rsid w:val="00766B40"/>
    <w:rsid w:val="00787C6A"/>
    <w:rsid w:val="00790166"/>
    <w:rsid w:val="00790D31"/>
    <w:rsid w:val="007A0A43"/>
    <w:rsid w:val="007A571E"/>
    <w:rsid w:val="007B783E"/>
    <w:rsid w:val="00801EC1"/>
    <w:rsid w:val="008177E2"/>
    <w:rsid w:val="008316C3"/>
    <w:rsid w:val="00847E4B"/>
    <w:rsid w:val="00855587"/>
    <w:rsid w:val="0086665B"/>
    <w:rsid w:val="008806AA"/>
    <w:rsid w:val="00891C38"/>
    <w:rsid w:val="008A12AF"/>
    <w:rsid w:val="008A282A"/>
    <w:rsid w:val="008A2ACA"/>
    <w:rsid w:val="008B4CE4"/>
    <w:rsid w:val="008C5006"/>
    <w:rsid w:val="008E2F6B"/>
    <w:rsid w:val="0090124E"/>
    <w:rsid w:val="00923DD7"/>
    <w:rsid w:val="009278F1"/>
    <w:rsid w:val="009445CB"/>
    <w:rsid w:val="009465CE"/>
    <w:rsid w:val="00947ACE"/>
    <w:rsid w:val="00984585"/>
    <w:rsid w:val="0098617F"/>
    <w:rsid w:val="00996B4A"/>
    <w:rsid w:val="009A7BD8"/>
    <w:rsid w:val="009B7ED7"/>
    <w:rsid w:val="009C5BC3"/>
    <w:rsid w:val="009C6A37"/>
    <w:rsid w:val="009D75A6"/>
    <w:rsid w:val="00A01026"/>
    <w:rsid w:val="00A02432"/>
    <w:rsid w:val="00A03E58"/>
    <w:rsid w:val="00A26BE9"/>
    <w:rsid w:val="00A436F6"/>
    <w:rsid w:val="00A52C5B"/>
    <w:rsid w:val="00A6171E"/>
    <w:rsid w:val="00A63300"/>
    <w:rsid w:val="00A6508E"/>
    <w:rsid w:val="00A66628"/>
    <w:rsid w:val="00A73B56"/>
    <w:rsid w:val="00A97C59"/>
    <w:rsid w:val="00AC1602"/>
    <w:rsid w:val="00AE138C"/>
    <w:rsid w:val="00AF0F59"/>
    <w:rsid w:val="00B8354A"/>
    <w:rsid w:val="00BA1414"/>
    <w:rsid w:val="00BC172A"/>
    <w:rsid w:val="00BC6414"/>
    <w:rsid w:val="00BE6ED7"/>
    <w:rsid w:val="00BF055C"/>
    <w:rsid w:val="00C025A0"/>
    <w:rsid w:val="00C2069B"/>
    <w:rsid w:val="00C56C6D"/>
    <w:rsid w:val="00C5744F"/>
    <w:rsid w:val="00C83031"/>
    <w:rsid w:val="00C847DB"/>
    <w:rsid w:val="00C84DFB"/>
    <w:rsid w:val="00C86B28"/>
    <w:rsid w:val="00C930E8"/>
    <w:rsid w:val="00CA403E"/>
    <w:rsid w:val="00CA5467"/>
    <w:rsid w:val="00CB0F22"/>
    <w:rsid w:val="00CC34A4"/>
    <w:rsid w:val="00CF1E65"/>
    <w:rsid w:val="00CF7AFF"/>
    <w:rsid w:val="00D24C7B"/>
    <w:rsid w:val="00D323B3"/>
    <w:rsid w:val="00D345F3"/>
    <w:rsid w:val="00D365BF"/>
    <w:rsid w:val="00D451C4"/>
    <w:rsid w:val="00D64041"/>
    <w:rsid w:val="00DB3CC7"/>
    <w:rsid w:val="00DC5B53"/>
    <w:rsid w:val="00DE0B99"/>
    <w:rsid w:val="00DE60BE"/>
    <w:rsid w:val="00E141D5"/>
    <w:rsid w:val="00E203AA"/>
    <w:rsid w:val="00E61642"/>
    <w:rsid w:val="00E72FD3"/>
    <w:rsid w:val="00E8533C"/>
    <w:rsid w:val="00ED4B90"/>
    <w:rsid w:val="00EE1DE4"/>
    <w:rsid w:val="00F04D63"/>
    <w:rsid w:val="00F13136"/>
    <w:rsid w:val="00F21A8B"/>
    <w:rsid w:val="00F602FB"/>
    <w:rsid w:val="00F670C0"/>
    <w:rsid w:val="00F71BA7"/>
    <w:rsid w:val="00F857E8"/>
    <w:rsid w:val="00FF27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BCAEC"/>
  <w15:chartTrackingRefBased/>
  <w15:docId w15:val="{AD278B3D-6DD7-4164-AA27-39C91319B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432"/>
    <w:pPr>
      <w:spacing w:line="254" w:lineRule="auto"/>
    </w:pPr>
    <w:rPr>
      <w:rFonts w:ascii="Calibri" w:eastAsiaTheme="minorEastAsia" w:hAnsi="Calibri" w:cs="Times New Roman"/>
      <w:lang w:val="en-US" w:eastAsia="zh-CN"/>
    </w:rPr>
  </w:style>
  <w:style w:type="paragraph" w:styleId="Heading1">
    <w:name w:val="heading 1"/>
    <w:basedOn w:val="Normal"/>
    <w:next w:val="Normal"/>
    <w:link w:val="Heading1Char"/>
    <w:uiPriority w:val="9"/>
    <w:qFormat/>
    <w:rsid w:val="00A024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024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E4577"/>
    <w:pPr>
      <w:keepNext/>
      <w:keepLines/>
      <w:spacing w:before="40" w:after="0"/>
      <w:outlineLvl w:val="2"/>
    </w:pPr>
    <w:rPr>
      <w:rFonts w:ascii="Times New Roman" w:eastAsiaTheme="majorEastAsia" w:hAnsi="Times New Roman" w:cstheme="majorBidi"/>
      <w:sz w:val="24"/>
      <w:szCs w:val="24"/>
    </w:rPr>
  </w:style>
  <w:style w:type="paragraph" w:styleId="Heading4">
    <w:name w:val="heading 4"/>
    <w:basedOn w:val="Normal"/>
    <w:next w:val="Normal"/>
    <w:link w:val="Heading4Char"/>
    <w:uiPriority w:val="9"/>
    <w:unhideWhenUsed/>
    <w:qFormat/>
    <w:rsid w:val="005E4577"/>
    <w:pPr>
      <w:keepNext/>
      <w:keepLines/>
      <w:spacing w:before="40" w:after="0"/>
      <w:ind w:left="720"/>
      <w:outlineLvl w:val="3"/>
    </w:pPr>
    <w:rPr>
      <w:rFonts w:ascii="Times New Roman" w:eastAsiaTheme="majorEastAsia" w:hAnsi="Times New Roman" w:cstheme="majorBid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024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2432"/>
    <w:rPr>
      <w:rFonts w:asciiTheme="majorHAnsi" w:eastAsiaTheme="majorEastAsia" w:hAnsiTheme="majorHAnsi" w:cstheme="majorBidi"/>
      <w:spacing w:val="-10"/>
      <w:kern w:val="28"/>
      <w:sz w:val="56"/>
      <w:szCs w:val="56"/>
      <w:lang w:val="en-US" w:eastAsia="zh-CN"/>
    </w:rPr>
  </w:style>
  <w:style w:type="character" w:customStyle="1" w:styleId="Heading1Char">
    <w:name w:val="Heading 1 Char"/>
    <w:basedOn w:val="DefaultParagraphFont"/>
    <w:link w:val="Heading1"/>
    <w:uiPriority w:val="9"/>
    <w:rsid w:val="00A02432"/>
    <w:rPr>
      <w:rFonts w:asciiTheme="majorHAnsi" w:eastAsiaTheme="majorEastAsia" w:hAnsiTheme="majorHAnsi" w:cstheme="majorBidi"/>
      <w:color w:val="2F5496" w:themeColor="accent1" w:themeShade="BF"/>
      <w:sz w:val="32"/>
      <w:szCs w:val="32"/>
      <w:lang w:val="en-US" w:eastAsia="zh-CN"/>
    </w:rPr>
  </w:style>
  <w:style w:type="character" w:customStyle="1" w:styleId="Heading2Char">
    <w:name w:val="Heading 2 Char"/>
    <w:basedOn w:val="DefaultParagraphFont"/>
    <w:link w:val="Heading2"/>
    <w:uiPriority w:val="9"/>
    <w:rsid w:val="00A02432"/>
    <w:rPr>
      <w:rFonts w:asciiTheme="majorHAnsi" w:eastAsiaTheme="majorEastAsia" w:hAnsiTheme="majorHAnsi" w:cstheme="majorBidi"/>
      <w:color w:val="2F5496" w:themeColor="accent1" w:themeShade="BF"/>
      <w:sz w:val="26"/>
      <w:szCs w:val="26"/>
      <w:lang w:val="en-US" w:eastAsia="zh-CN"/>
    </w:rPr>
  </w:style>
  <w:style w:type="paragraph" w:styleId="ListParagraph">
    <w:name w:val="List Paragraph"/>
    <w:basedOn w:val="Normal"/>
    <w:uiPriority w:val="34"/>
    <w:qFormat/>
    <w:rsid w:val="00A02432"/>
    <w:pPr>
      <w:ind w:left="720"/>
      <w:contextualSpacing/>
    </w:pPr>
  </w:style>
  <w:style w:type="character" w:customStyle="1" w:styleId="Heading3Char">
    <w:name w:val="Heading 3 Char"/>
    <w:basedOn w:val="DefaultParagraphFont"/>
    <w:link w:val="Heading3"/>
    <w:uiPriority w:val="9"/>
    <w:rsid w:val="005E4577"/>
    <w:rPr>
      <w:rFonts w:ascii="Times New Roman" w:eastAsiaTheme="majorEastAsia" w:hAnsi="Times New Roman" w:cstheme="majorBidi"/>
      <w:sz w:val="24"/>
      <w:szCs w:val="24"/>
      <w:lang w:val="en-US" w:eastAsia="zh-CN"/>
    </w:rPr>
  </w:style>
  <w:style w:type="character" w:customStyle="1" w:styleId="Heading4Char">
    <w:name w:val="Heading 4 Char"/>
    <w:basedOn w:val="DefaultParagraphFont"/>
    <w:link w:val="Heading4"/>
    <w:uiPriority w:val="9"/>
    <w:rsid w:val="005E4577"/>
    <w:rPr>
      <w:rFonts w:ascii="Times New Roman" w:eastAsiaTheme="majorEastAsia" w:hAnsi="Times New Roman" w:cstheme="majorBidi"/>
      <w:i/>
      <w:iCs/>
      <w:sz w:val="24"/>
      <w:lang w:val="en-US" w:eastAsia="zh-CN"/>
    </w:rPr>
  </w:style>
  <w:style w:type="character" w:styleId="Hyperlink">
    <w:name w:val="Hyperlink"/>
    <w:basedOn w:val="DefaultParagraphFont"/>
    <w:uiPriority w:val="99"/>
    <w:unhideWhenUsed/>
    <w:rsid w:val="005E4577"/>
    <w:rPr>
      <w:color w:val="0563C1" w:themeColor="hyperlink"/>
      <w:u w:val="single"/>
    </w:rPr>
  </w:style>
  <w:style w:type="character" w:styleId="UnresolvedMention">
    <w:name w:val="Unresolved Mention"/>
    <w:basedOn w:val="DefaultParagraphFont"/>
    <w:uiPriority w:val="99"/>
    <w:semiHidden/>
    <w:unhideWhenUsed/>
    <w:rsid w:val="00DE60BE"/>
    <w:rPr>
      <w:color w:val="808080"/>
      <w:shd w:val="clear" w:color="auto" w:fill="E6E6E6"/>
    </w:rPr>
  </w:style>
  <w:style w:type="character" w:styleId="FollowedHyperlink">
    <w:name w:val="FollowedHyperlink"/>
    <w:basedOn w:val="DefaultParagraphFont"/>
    <w:uiPriority w:val="99"/>
    <w:semiHidden/>
    <w:unhideWhenUsed/>
    <w:rsid w:val="00DE60BE"/>
    <w:rPr>
      <w:color w:val="954F72" w:themeColor="followedHyperlink"/>
      <w:u w:val="single"/>
    </w:rPr>
  </w:style>
  <w:style w:type="paragraph" w:styleId="Header">
    <w:name w:val="header"/>
    <w:basedOn w:val="Normal"/>
    <w:link w:val="HeaderChar"/>
    <w:uiPriority w:val="99"/>
    <w:unhideWhenUsed/>
    <w:rsid w:val="003E4D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D33"/>
    <w:rPr>
      <w:rFonts w:ascii="Calibri" w:eastAsiaTheme="minorEastAsia" w:hAnsi="Calibri" w:cs="Times New Roman"/>
      <w:lang w:val="en-US" w:eastAsia="zh-CN"/>
    </w:rPr>
  </w:style>
  <w:style w:type="paragraph" w:styleId="Footer">
    <w:name w:val="footer"/>
    <w:basedOn w:val="Normal"/>
    <w:link w:val="FooterChar"/>
    <w:uiPriority w:val="99"/>
    <w:unhideWhenUsed/>
    <w:rsid w:val="003E4D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D33"/>
    <w:rPr>
      <w:rFonts w:ascii="Calibri" w:eastAsiaTheme="minorEastAsia" w:hAnsi="Calibri" w:cs="Times New Roman"/>
      <w:lang w:val="en-US" w:eastAsia="zh-CN"/>
    </w:rPr>
  </w:style>
  <w:style w:type="paragraph" w:styleId="TOCHeading">
    <w:name w:val="TOC Heading"/>
    <w:basedOn w:val="Heading1"/>
    <w:next w:val="Normal"/>
    <w:uiPriority w:val="39"/>
    <w:unhideWhenUsed/>
    <w:qFormat/>
    <w:rsid w:val="00847E4B"/>
    <w:pPr>
      <w:spacing w:line="259" w:lineRule="auto"/>
      <w:outlineLvl w:val="9"/>
    </w:pPr>
    <w:rPr>
      <w:lang w:eastAsia="en-US"/>
    </w:rPr>
  </w:style>
  <w:style w:type="paragraph" w:styleId="TOC1">
    <w:name w:val="toc 1"/>
    <w:basedOn w:val="Normal"/>
    <w:next w:val="Normal"/>
    <w:autoRedefine/>
    <w:uiPriority w:val="39"/>
    <w:unhideWhenUsed/>
    <w:rsid w:val="00847E4B"/>
    <w:pPr>
      <w:spacing w:after="100"/>
    </w:pPr>
  </w:style>
  <w:style w:type="paragraph" w:styleId="TOC2">
    <w:name w:val="toc 2"/>
    <w:basedOn w:val="Normal"/>
    <w:next w:val="Normal"/>
    <w:autoRedefine/>
    <w:uiPriority w:val="39"/>
    <w:unhideWhenUsed/>
    <w:rsid w:val="00847E4B"/>
    <w:pPr>
      <w:spacing w:after="100"/>
      <w:ind w:left="220"/>
    </w:pPr>
  </w:style>
  <w:style w:type="paragraph" w:styleId="TOC3">
    <w:name w:val="toc 3"/>
    <w:basedOn w:val="Normal"/>
    <w:next w:val="Normal"/>
    <w:autoRedefine/>
    <w:uiPriority w:val="39"/>
    <w:unhideWhenUsed/>
    <w:rsid w:val="00847E4B"/>
    <w:pPr>
      <w:spacing w:after="100"/>
      <w:ind w:left="440"/>
    </w:pPr>
  </w:style>
  <w:style w:type="paragraph" w:styleId="TOC4">
    <w:name w:val="toc 4"/>
    <w:basedOn w:val="Normal"/>
    <w:next w:val="Normal"/>
    <w:autoRedefine/>
    <w:uiPriority w:val="39"/>
    <w:unhideWhenUsed/>
    <w:rsid w:val="00847E4B"/>
    <w:pPr>
      <w:spacing w:after="100"/>
      <w:ind w:left="660"/>
    </w:pPr>
  </w:style>
  <w:style w:type="paragraph" w:styleId="BalloonText">
    <w:name w:val="Balloon Text"/>
    <w:basedOn w:val="Normal"/>
    <w:link w:val="BalloonTextChar"/>
    <w:uiPriority w:val="99"/>
    <w:semiHidden/>
    <w:unhideWhenUsed/>
    <w:rsid w:val="00847E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E4B"/>
    <w:rPr>
      <w:rFonts w:ascii="Segoe UI" w:eastAsiaTheme="minorEastAsia" w:hAnsi="Segoe UI" w:cs="Segoe UI"/>
      <w:sz w:val="18"/>
      <w:szCs w:val="18"/>
      <w:lang w:val="en-US" w:eastAsia="zh-CN"/>
    </w:rPr>
  </w:style>
  <w:style w:type="character" w:styleId="CommentReference">
    <w:name w:val="annotation reference"/>
    <w:basedOn w:val="DefaultParagraphFont"/>
    <w:uiPriority w:val="99"/>
    <w:semiHidden/>
    <w:unhideWhenUsed/>
    <w:rsid w:val="00CF7AFF"/>
    <w:rPr>
      <w:sz w:val="16"/>
      <w:szCs w:val="16"/>
    </w:rPr>
  </w:style>
  <w:style w:type="paragraph" w:styleId="CommentText">
    <w:name w:val="annotation text"/>
    <w:basedOn w:val="Normal"/>
    <w:link w:val="CommentTextChar"/>
    <w:uiPriority w:val="99"/>
    <w:semiHidden/>
    <w:unhideWhenUsed/>
    <w:rsid w:val="00CF7AFF"/>
    <w:pPr>
      <w:spacing w:line="240" w:lineRule="auto"/>
    </w:pPr>
    <w:rPr>
      <w:sz w:val="20"/>
      <w:szCs w:val="20"/>
    </w:rPr>
  </w:style>
  <w:style w:type="character" w:customStyle="1" w:styleId="CommentTextChar">
    <w:name w:val="Comment Text Char"/>
    <w:basedOn w:val="DefaultParagraphFont"/>
    <w:link w:val="CommentText"/>
    <w:uiPriority w:val="99"/>
    <w:semiHidden/>
    <w:rsid w:val="00CF7AFF"/>
    <w:rPr>
      <w:rFonts w:ascii="Calibri" w:eastAsiaTheme="minorEastAsia" w:hAnsi="Calibri" w:cs="Times New Roman"/>
      <w:sz w:val="20"/>
      <w:szCs w:val="20"/>
      <w:lang w:val="en-US" w:eastAsia="zh-CN"/>
    </w:rPr>
  </w:style>
  <w:style w:type="paragraph" w:styleId="CommentSubject">
    <w:name w:val="annotation subject"/>
    <w:basedOn w:val="CommentText"/>
    <w:next w:val="CommentText"/>
    <w:link w:val="CommentSubjectChar"/>
    <w:uiPriority w:val="99"/>
    <w:semiHidden/>
    <w:unhideWhenUsed/>
    <w:rsid w:val="00CF7AFF"/>
    <w:rPr>
      <w:b/>
      <w:bCs/>
    </w:rPr>
  </w:style>
  <w:style w:type="character" w:customStyle="1" w:styleId="CommentSubjectChar">
    <w:name w:val="Comment Subject Char"/>
    <w:basedOn w:val="CommentTextChar"/>
    <w:link w:val="CommentSubject"/>
    <w:uiPriority w:val="99"/>
    <w:semiHidden/>
    <w:rsid w:val="00CF7AFF"/>
    <w:rPr>
      <w:rFonts w:ascii="Calibri" w:eastAsiaTheme="minorEastAsia" w:hAnsi="Calibri" w:cs="Times New Roman"/>
      <w:b/>
      <w:bCs/>
      <w:sz w:val="20"/>
      <w:szCs w:val="20"/>
      <w:lang w:val="en-US" w:eastAsia="zh-CN"/>
    </w:rPr>
  </w:style>
  <w:style w:type="table" w:styleId="TableGrid">
    <w:name w:val="Table Grid"/>
    <w:basedOn w:val="TableNormal"/>
    <w:uiPriority w:val="39"/>
    <w:rsid w:val="00C84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85DB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5DBD"/>
    <w:rPr>
      <w:rFonts w:ascii="Calibri" w:eastAsiaTheme="minorEastAsia" w:hAnsi="Calibri" w:cs="Times New Roman"/>
      <w:sz w:val="20"/>
      <w:szCs w:val="20"/>
      <w:lang w:val="en-US" w:eastAsia="zh-CN"/>
    </w:rPr>
  </w:style>
  <w:style w:type="character" w:styleId="EndnoteReference">
    <w:name w:val="endnote reference"/>
    <w:basedOn w:val="DefaultParagraphFont"/>
    <w:uiPriority w:val="99"/>
    <w:semiHidden/>
    <w:unhideWhenUsed/>
    <w:rsid w:val="00385DBD"/>
    <w:rPr>
      <w:vertAlign w:val="superscript"/>
    </w:rPr>
  </w:style>
  <w:style w:type="paragraph" w:styleId="FootnoteText">
    <w:name w:val="footnote text"/>
    <w:basedOn w:val="Normal"/>
    <w:link w:val="FootnoteTextChar"/>
    <w:uiPriority w:val="99"/>
    <w:semiHidden/>
    <w:unhideWhenUsed/>
    <w:rsid w:val="00A97C59"/>
    <w:pPr>
      <w:spacing w:after="0" w:line="240" w:lineRule="auto"/>
    </w:pPr>
    <w:rPr>
      <w:rFonts w:asciiTheme="minorHAnsi" w:eastAsiaTheme="minorHAnsi" w:hAnsiTheme="minorHAnsi" w:cstheme="minorBidi"/>
      <w:sz w:val="20"/>
      <w:szCs w:val="20"/>
      <w:lang w:val="en-CA" w:eastAsia="en-US"/>
    </w:rPr>
  </w:style>
  <w:style w:type="character" w:customStyle="1" w:styleId="FootnoteTextChar">
    <w:name w:val="Footnote Text Char"/>
    <w:basedOn w:val="DefaultParagraphFont"/>
    <w:link w:val="FootnoteText"/>
    <w:uiPriority w:val="99"/>
    <w:semiHidden/>
    <w:rsid w:val="00A97C59"/>
    <w:rPr>
      <w:sz w:val="20"/>
      <w:szCs w:val="20"/>
    </w:rPr>
  </w:style>
  <w:style w:type="character" w:styleId="FootnoteReference">
    <w:name w:val="footnote reference"/>
    <w:basedOn w:val="DefaultParagraphFont"/>
    <w:uiPriority w:val="99"/>
    <w:semiHidden/>
    <w:unhideWhenUsed/>
    <w:rsid w:val="00A97C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791400">
      <w:bodyDiv w:val="1"/>
      <w:marLeft w:val="0"/>
      <w:marRight w:val="0"/>
      <w:marTop w:val="0"/>
      <w:marBottom w:val="0"/>
      <w:divBdr>
        <w:top w:val="none" w:sz="0" w:space="0" w:color="auto"/>
        <w:left w:val="none" w:sz="0" w:space="0" w:color="auto"/>
        <w:bottom w:val="none" w:sz="0" w:space="0" w:color="auto"/>
        <w:right w:val="none" w:sz="0" w:space="0" w:color="auto"/>
      </w:divBdr>
    </w:div>
    <w:div w:id="814562828">
      <w:bodyDiv w:val="1"/>
      <w:marLeft w:val="0"/>
      <w:marRight w:val="0"/>
      <w:marTop w:val="0"/>
      <w:marBottom w:val="0"/>
      <w:divBdr>
        <w:top w:val="none" w:sz="0" w:space="0" w:color="auto"/>
        <w:left w:val="none" w:sz="0" w:space="0" w:color="auto"/>
        <w:bottom w:val="none" w:sz="0" w:space="0" w:color="auto"/>
        <w:right w:val="none" w:sz="0" w:space="0" w:color="auto"/>
      </w:divBdr>
      <w:divsChild>
        <w:div w:id="1797946756">
          <w:marLeft w:val="0"/>
          <w:marRight w:val="0"/>
          <w:marTop w:val="0"/>
          <w:marBottom w:val="0"/>
          <w:divBdr>
            <w:top w:val="none" w:sz="0" w:space="0" w:color="auto"/>
            <w:left w:val="none" w:sz="0" w:space="0" w:color="auto"/>
            <w:bottom w:val="none" w:sz="0" w:space="0" w:color="auto"/>
            <w:right w:val="none" w:sz="0" w:space="0" w:color="auto"/>
          </w:divBdr>
        </w:div>
        <w:div w:id="1864586611">
          <w:marLeft w:val="0"/>
          <w:marRight w:val="0"/>
          <w:marTop w:val="0"/>
          <w:marBottom w:val="0"/>
          <w:divBdr>
            <w:top w:val="none" w:sz="0" w:space="0" w:color="auto"/>
            <w:left w:val="none" w:sz="0" w:space="0" w:color="auto"/>
            <w:bottom w:val="none" w:sz="0" w:space="0" w:color="auto"/>
            <w:right w:val="none" w:sz="0" w:space="0" w:color="auto"/>
          </w:divBdr>
        </w:div>
        <w:div w:id="731273200">
          <w:marLeft w:val="0"/>
          <w:marRight w:val="0"/>
          <w:marTop w:val="0"/>
          <w:marBottom w:val="0"/>
          <w:divBdr>
            <w:top w:val="none" w:sz="0" w:space="0" w:color="auto"/>
            <w:left w:val="none" w:sz="0" w:space="0" w:color="auto"/>
            <w:bottom w:val="none" w:sz="0" w:space="0" w:color="auto"/>
            <w:right w:val="none" w:sz="0" w:space="0" w:color="auto"/>
          </w:divBdr>
        </w:div>
        <w:div w:id="623658219">
          <w:marLeft w:val="0"/>
          <w:marRight w:val="0"/>
          <w:marTop w:val="0"/>
          <w:marBottom w:val="0"/>
          <w:divBdr>
            <w:top w:val="none" w:sz="0" w:space="0" w:color="auto"/>
            <w:left w:val="none" w:sz="0" w:space="0" w:color="auto"/>
            <w:bottom w:val="none" w:sz="0" w:space="0" w:color="auto"/>
            <w:right w:val="none" w:sz="0" w:space="0" w:color="auto"/>
          </w:divBdr>
        </w:div>
        <w:div w:id="1974410021">
          <w:marLeft w:val="0"/>
          <w:marRight w:val="0"/>
          <w:marTop w:val="0"/>
          <w:marBottom w:val="0"/>
          <w:divBdr>
            <w:top w:val="none" w:sz="0" w:space="0" w:color="auto"/>
            <w:left w:val="none" w:sz="0" w:space="0" w:color="auto"/>
            <w:bottom w:val="none" w:sz="0" w:space="0" w:color="auto"/>
            <w:right w:val="none" w:sz="0" w:space="0" w:color="auto"/>
          </w:divBdr>
        </w:div>
        <w:div w:id="1569026105">
          <w:marLeft w:val="0"/>
          <w:marRight w:val="0"/>
          <w:marTop w:val="0"/>
          <w:marBottom w:val="0"/>
          <w:divBdr>
            <w:top w:val="none" w:sz="0" w:space="0" w:color="auto"/>
            <w:left w:val="none" w:sz="0" w:space="0" w:color="auto"/>
            <w:bottom w:val="none" w:sz="0" w:space="0" w:color="auto"/>
            <w:right w:val="none" w:sz="0" w:space="0" w:color="auto"/>
          </w:divBdr>
        </w:div>
        <w:div w:id="1569270122">
          <w:marLeft w:val="0"/>
          <w:marRight w:val="0"/>
          <w:marTop w:val="0"/>
          <w:marBottom w:val="0"/>
          <w:divBdr>
            <w:top w:val="none" w:sz="0" w:space="0" w:color="auto"/>
            <w:left w:val="none" w:sz="0" w:space="0" w:color="auto"/>
            <w:bottom w:val="none" w:sz="0" w:space="0" w:color="auto"/>
            <w:right w:val="none" w:sz="0" w:space="0" w:color="auto"/>
          </w:divBdr>
        </w:div>
        <w:div w:id="1418793778">
          <w:marLeft w:val="0"/>
          <w:marRight w:val="0"/>
          <w:marTop w:val="0"/>
          <w:marBottom w:val="0"/>
          <w:divBdr>
            <w:top w:val="none" w:sz="0" w:space="0" w:color="auto"/>
            <w:left w:val="none" w:sz="0" w:space="0" w:color="auto"/>
            <w:bottom w:val="none" w:sz="0" w:space="0" w:color="auto"/>
            <w:right w:val="none" w:sz="0" w:space="0" w:color="auto"/>
          </w:divBdr>
        </w:div>
        <w:div w:id="2097940118">
          <w:marLeft w:val="0"/>
          <w:marRight w:val="0"/>
          <w:marTop w:val="0"/>
          <w:marBottom w:val="0"/>
          <w:divBdr>
            <w:top w:val="none" w:sz="0" w:space="0" w:color="auto"/>
            <w:left w:val="none" w:sz="0" w:space="0" w:color="auto"/>
            <w:bottom w:val="none" w:sz="0" w:space="0" w:color="auto"/>
            <w:right w:val="none" w:sz="0" w:space="0" w:color="auto"/>
          </w:divBdr>
        </w:div>
        <w:div w:id="542864841">
          <w:marLeft w:val="0"/>
          <w:marRight w:val="0"/>
          <w:marTop w:val="0"/>
          <w:marBottom w:val="0"/>
          <w:divBdr>
            <w:top w:val="none" w:sz="0" w:space="0" w:color="auto"/>
            <w:left w:val="none" w:sz="0" w:space="0" w:color="auto"/>
            <w:bottom w:val="none" w:sz="0" w:space="0" w:color="auto"/>
            <w:right w:val="none" w:sz="0" w:space="0" w:color="auto"/>
          </w:divBdr>
        </w:div>
        <w:div w:id="1031876794">
          <w:marLeft w:val="0"/>
          <w:marRight w:val="0"/>
          <w:marTop w:val="0"/>
          <w:marBottom w:val="0"/>
          <w:divBdr>
            <w:top w:val="none" w:sz="0" w:space="0" w:color="auto"/>
            <w:left w:val="none" w:sz="0" w:space="0" w:color="auto"/>
            <w:bottom w:val="none" w:sz="0" w:space="0" w:color="auto"/>
            <w:right w:val="none" w:sz="0" w:space="0" w:color="auto"/>
          </w:divBdr>
        </w:div>
        <w:div w:id="1625771521">
          <w:marLeft w:val="0"/>
          <w:marRight w:val="0"/>
          <w:marTop w:val="0"/>
          <w:marBottom w:val="0"/>
          <w:divBdr>
            <w:top w:val="none" w:sz="0" w:space="0" w:color="auto"/>
            <w:left w:val="none" w:sz="0" w:space="0" w:color="auto"/>
            <w:bottom w:val="none" w:sz="0" w:space="0" w:color="auto"/>
            <w:right w:val="none" w:sz="0" w:space="0" w:color="auto"/>
          </w:divBdr>
        </w:div>
        <w:div w:id="475294004">
          <w:marLeft w:val="0"/>
          <w:marRight w:val="0"/>
          <w:marTop w:val="0"/>
          <w:marBottom w:val="0"/>
          <w:divBdr>
            <w:top w:val="none" w:sz="0" w:space="0" w:color="auto"/>
            <w:left w:val="none" w:sz="0" w:space="0" w:color="auto"/>
            <w:bottom w:val="none" w:sz="0" w:space="0" w:color="auto"/>
            <w:right w:val="none" w:sz="0" w:space="0" w:color="auto"/>
          </w:divBdr>
        </w:div>
        <w:div w:id="287905503">
          <w:marLeft w:val="0"/>
          <w:marRight w:val="0"/>
          <w:marTop w:val="0"/>
          <w:marBottom w:val="0"/>
          <w:divBdr>
            <w:top w:val="none" w:sz="0" w:space="0" w:color="auto"/>
            <w:left w:val="none" w:sz="0" w:space="0" w:color="auto"/>
            <w:bottom w:val="none" w:sz="0" w:space="0" w:color="auto"/>
            <w:right w:val="none" w:sz="0" w:space="0" w:color="auto"/>
          </w:divBdr>
        </w:div>
        <w:div w:id="111290479">
          <w:marLeft w:val="0"/>
          <w:marRight w:val="0"/>
          <w:marTop w:val="0"/>
          <w:marBottom w:val="0"/>
          <w:divBdr>
            <w:top w:val="none" w:sz="0" w:space="0" w:color="auto"/>
            <w:left w:val="none" w:sz="0" w:space="0" w:color="auto"/>
            <w:bottom w:val="none" w:sz="0" w:space="0" w:color="auto"/>
            <w:right w:val="none" w:sz="0" w:space="0" w:color="auto"/>
          </w:divBdr>
        </w:div>
        <w:div w:id="957490617">
          <w:marLeft w:val="0"/>
          <w:marRight w:val="0"/>
          <w:marTop w:val="0"/>
          <w:marBottom w:val="0"/>
          <w:divBdr>
            <w:top w:val="none" w:sz="0" w:space="0" w:color="auto"/>
            <w:left w:val="none" w:sz="0" w:space="0" w:color="auto"/>
            <w:bottom w:val="none" w:sz="0" w:space="0" w:color="auto"/>
            <w:right w:val="none" w:sz="0" w:space="0" w:color="auto"/>
          </w:divBdr>
        </w:div>
        <w:div w:id="867522285">
          <w:marLeft w:val="0"/>
          <w:marRight w:val="0"/>
          <w:marTop w:val="0"/>
          <w:marBottom w:val="0"/>
          <w:divBdr>
            <w:top w:val="none" w:sz="0" w:space="0" w:color="auto"/>
            <w:left w:val="none" w:sz="0" w:space="0" w:color="auto"/>
            <w:bottom w:val="none" w:sz="0" w:space="0" w:color="auto"/>
            <w:right w:val="none" w:sz="0" w:space="0" w:color="auto"/>
          </w:divBdr>
        </w:div>
        <w:div w:id="1520654277">
          <w:marLeft w:val="0"/>
          <w:marRight w:val="0"/>
          <w:marTop w:val="0"/>
          <w:marBottom w:val="0"/>
          <w:divBdr>
            <w:top w:val="none" w:sz="0" w:space="0" w:color="auto"/>
            <w:left w:val="none" w:sz="0" w:space="0" w:color="auto"/>
            <w:bottom w:val="none" w:sz="0" w:space="0" w:color="auto"/>
            <w:right w:val="none" w:sz="0" w:space="0" w:color="auto"/>
          </w:divBdr>
        </w:div>
        <w:div w:id="1145241844">
          <w:marLeft w:val="0"/>
          <w:marRight w:val="0"/>
          <w:marTop w:val="0"/>
          <w:marBottom w:val="0"/>
          <w:divBdr>
            <w:top w:val="none" w:sz="0" w:space="0" w:color="auto"/>
            <w:left w:val="none" w:sz="0" w:space="0" w:color="auto"/>
            <w:bottom w:val="none" w:sz="0" w:space="0" w:color="auto"/>
            <w:right w:val="none" w:sz="0" w:space="0" w:color="auto"/>
          </w:divBdr>
        </w:div>
        <w:div w:id="141193680">
          <w:marLeft w:val="0"/>
          <w:marRight w:val="0"/>
          <w:marTop w:val="0"/>
          <w:marBottom w:val="0"/>
          <w:divBdr>
            <w:top w:val="none" w:sz="0" w:space="0" w:color="auto"/>
            <w:left w:val="none" w:sz="0" w:space="0" w:color="auto"/>
            <w:bottom w:val="none" w:sz="0" w:space="0" w:color="auto"/>
            <w:right w:val="none" w:sz="0" w:space="0" w:color="auto"/>
          </w:divBdr>
        </w:div>
        <w:div w:id="1499491795">
          <w:marLeft w:val="0"/>
          <w:marRight w:val="0"/>
          <w:marTop w:val="0"/>
          <w:marBottom w:val="0"/>
          <w:divBdr>
            <w:top w:val="none" w:sz="0" w:space="0" w:color="auto"/>
            <w:left w:val="none" w:sz="0" w:space="0" w:color="auto"/>
            <w:bottom w:val="none" w:sz="0" w:space="0" w:color="auto"/>
            <w:right w:val="none" w:sz="0" w:space="0" w:color="auto"/>
          </w:divBdr>
        </w:div>
        <w:div w:id="1546598353">
          <w:marLeft w:val="0"/>
          <w:marRight w:val="0"/>
          <w:marTop w:val="0"/>
          <w:marBottom w:val="0"/>
          <w:divBdr>
            <w:top w:val="none" w:sz="0" w:space="0" w:color="auto"/>
            <w:left w:val="none" w:sz="0" w:space="0" w:color="auto"/>
            <w:bottom w:val="none" w:sz="0" w:space="0" w:color="auto"/>
            <w:right w:val="none" w:sz="0" w:space="0" w:color="auto"/>
          </w:divBdr>
        </w:div>
        <w:div w:id="1456169431">
          <w:marLeft w:val="0"/>
          <w:marRight w:val="0"/>
          <w:marTop w:val="0"/>
          <w:marBottom w:val="0"/>
          <w:divBdr>
            <w:top w:val="none" w:sz="0" w:space="0" w:color="auto"/>
            <w:left w:val="none" w:sz="0" w:space="0" w:color="auto"/>
            <w:bottom w:val="none" w:sz="0" w:space="0" w:color="auto"/>
            <w:right w:val="none" w:sz="0" w:space="0" w:color="auto"/>
          </w:divBdr>
        </w:div>
        <w:div w:id="325480251">
          <w:marLeft w:val="0"/>
          <w:marRight w:val="0"/>
          <w:marTop w:val="0"/>
          <w:marBottom w:val="0"/>
          <w:divBdr>
            <w:top w:val="none" w:sz="0" w:space="0" w:color="auto"/>
            <w:left w:val="none" w:sz="0" w:space="0" w:color="auto"/>
            <w:bottom w:val="none" w:sz="0" w:space="0" w:color="auto"/>
            <w:right w:val="none" w:sz="0" w:space="0" w:color="auto"/>
          </w:divBdr>
        </w:div>
        <w:div w:id="1350062432">
          <w:marLeft w:val="0"/>
          <w:marRight w:val="0"/>
          <w:marTop w:val="0"/>
          <w:marBottom w:val="0"/>
          <w:divBdr>
            <w:top w:val="none" w:sz="0" w:space="0" w:color="auto"/>
            <w:left w:val="none" w:sz="0" w:space="0" w:color="auto"/>
            <w:bottom w:val="none" w:sz="0" w:space="0" w:color="auto"/>
            <w:right w:val="none" w:sz="0" w:space="0" w:color="auto"/>
          </w:divBdr>
        </w:div>
        <w:div w:id="1676155410">
          <w:marLeft w:val="0"/>
          <w:marRight w:val="0"/>
          <w:marTop w:val="0"/>
          <w:marBottom w:val="0"/>
          <w:divBdr>
            <w:top w:val="none" w:sz="0" w:space="0" w:color="auto"/>
            <w:left w:val="none" w:sz="0" w:space="0" w:color="auto"/>
            <w:bottom w:val="none" w:sz="0" w:space="0" w:color="auto"/>
            <w:right w:val="none" w:sz="0" w:space="0" w:color="auto"/>
          </w:divBdr>
        </w:div>
        <w:div w:id="618875326">
          <w:marLeft w:val="0"/>
          <w:marRight w:val="0"/>
          <w:marTop w:val="0"/>
          <w:marBottom w:val="0"/>
          <w:divBdr>
            <w:top w:val="none" w:sz="0" w:space="0" w:color="auto"/>
            <w:left w:val="none" w:sz="0" w:space="0" w:color="auto"/>
            <w:bottom w:val="none" w:sz="0" w:space="0" w:color="auto"/>
            <w:right w:val="none" w:sz="0" w:space="0" w:color="auto"/>
          </w:divBdr>
        </w:div>
        <w:div w:id="672804801">
          <w:marLeft w:val="0"/>
          <w:marRight w:val="0"/>
          <w:marTop w:val="0"/>
          <w:marBottom w:val="0"/>
          <w:divBdr>
            <w:top w:val="none" w:sz="0" w:space="0" w:color="auto"/>
            <w:left w:val="none" w:sz="0" w:space="0" w:color="auto"/>
            <w:bottom w:val="none" w:sz="0" w:space="0" w:color="auto"/>
            <w:right w:val="none" w:sz="0" w:space="0" w:color="auto"/>
          </w:divBdr>
        </w:div>
        <w:div w:id="160706216">
          <w:marLeft w:val="0"/>
          <w:marRight w:val="0"/>
          <w:marTop w:val="0"/>
          <w:marBottom w:val="0"/>
          <w:divBdr>
            <w:top w:val="none" w:sz="0" w:space="0" w:color="auto"/>
            <w:left w:val="none" w:sz="0" w:space="0" w:color="auto"/>
            <w:bottom w:val="none" w:sz="0" w:space="0" w:color="auto"/>
            <w:right w:val="none" w:sz="0" w:space="0" w:color="auto"/>
          </w:divBdr>
        </w:div>
        <w:div w:id="225653461">
          <w:marLeft w:val="0"/>
          <w:marRight w:val="0"/>
          <w:marTop w:val="0"/>
          <w:marBottom w:val="0"/>
          <w:divBdr>
            <w:top w:val="none" w:sz="0" w:space="0" w:color="auto"/>
            <w:left w:val="none" w:sz="0" w:space="0" w:color="auto"/>
            <w:bottom w:val="none" w:sz="0" w:space="0" w:color="auto"/>
            <w:right w:val="none" w:sz="0" w:space="0" w:color="auto"/>
          </w:divBdr>
          <w:divsChild>
            <w:div w:id="23483671">
              <w:marLeft w:val="0"/>
              <w:marRight w:val="0"/>
              <w:marTop w:val="0"/>
              <w:marBottom w:val="0"/>
              <w:divBdr>
                <w:top w:val="none" w:sz="0" w:space="0" w:color="auto"/>
                <w:left w:val="none" w:sz="0" w:space="0" w:color="auto"/>
                <w:bottom w:val="none" w:sz="0" w:space="0" w:color="auto"/>
                <w:right w:val="none" w:sz="0" w:space="0" w:color="auto"/>
              </w:divBdr>
            </w:div>
            <w:div w:id="645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dp.org/content/undp/en/home/sustainable-development-goals/goal-6-clean-water-and-sanitation.html" TargetMode="External"/><Relationship Id="rId13" Type="http://schemas.openxmlformats.org/officeDocument/2006/relationships/hyperlink" Target="http://www.undp.org/content/undp/en/home/sustainable-development-goals/goal-17-partnerships-for-the-goal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dp.org/content/undp/en/home/sustainable-development-goals/goal-15-life-on-land.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dp.org/content/undp/en/home/sustainable-development-goals/goal-12-responsible-consumption-and-production.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ndp.org/content/undp/en/home/sustainable-development-goals/goal-11-sustainable-cities-and-communities.html" TargetMode="External"/><Relationship Id="rId4" Type="http://schemas.openxmlformats.org/officeDocument/2006/relationships/settings" Target="settings.xml"/><Relationship Id="rId9" Type="http://schemas.openxmlformats.org/officeDocument/2006/relationships/hyperlink" Target="http://www.undp.org/content/undp/en/home/sustainable-development-goals/goal-7-affordable-and-clean-energy.html"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unu.edu/projects/wastewater-reuse-effectivenes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5C05A74-2A0D-4234-BDC8-59EC7C3B0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9052</Words>
  <Characters>51600</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Duque</dc:creator>
  <cp:keywords/>
  <dc:description/>
  <cp:lastModifiedBy>Carolina Duque</cp:lastModifiedBy>
  <cp:revision>2</cp:revision>
  <cp:lastPrinted>2018-04-23T22:00:00Z</cp:lastPrinted>
  <dcterms:created xsi:type="dcterms:W3CDTF">2018-04-25T13:54:00Z</dcterms:created>
  <dcterms:modified xsi:type="dcterms:W3CDTF">2018-04-25T13:54:00Z</dcterms:modified>
</cp:coreProperties>
</file>